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A87C7">
      <w:pPr>
        <w:autoSpaceDE w:val="0"/>
        <w:autoSpaceDN w:val="0"/>
        <w:spacing w:before="33"/>
        <w:ind w:left="221" w:right="277"/>
        <w:jc w:val="center"/>
        <w:rPr>
          <w:rFonts w:ascii="黑体" w:hAnsi="黑体" w:eastAsia="黑体" w:cs="仿宋"/>
          <w:b/>
          <w:kern w:val="0"/>
          <w:sz w:val="48"/>
          <w:szCs w:val="22"/>
          <w:lang w:val="zh-CN" w:bidi="zh-CN"/>
        </w:rPr>
      </w:pPr>
    </w:p>
    <w:p w14:paraId="3D4229E0">
      <w:pPr>
        <w:autoSpaceDE w:val="0"/>
        <w:autoSpaceDN w:val="0"/>
        <w:spacing w:before="33"/>
        <w:ind w:left="221" w:right="277"/>
        <w:jc w:val="center"/>
        <w:rPr>
          <w:rFonts w:ascii="黑体" w:hAnsi="黑体" w:eastAsia="黑体" w:cs="仿宋"/>
          <w:b/>
          <w:kern w:val="0"/>
          <w:sz w:val="48"/>
          <w:szCs w:val="22"/>
          <w:lang w:val="zh-CN" w:bidi="zh-CN"/>
        </w:rPr>
      </w:pPr>
    </w:p>
    <w:p w14:paraId="7AA7EF44">
      <w:pPr>
        <w:autoSpaceDE w:val="0"/>
        <w:autoSpaceDN w:val="0"/>
        <w:spacing w:before="33"/>
        <w:ind w:left="221" w:right="277"/>
        <w:jc w:val="center"/>
        <w:rPr>
          <w:rFonts w:ascii="黑体" w:hAnsi="黑体" w:eastAsia="黑体" w:cs="仿宋"/>
          <w:b/>
          <w:kern w:val="0"/>
          <w:sz w:val="48"/>
          <w:szCs w:val="22"/>
          <w:lang w:val="zh-CN" w:bidi="zh-CN"/>
        </w:rPr>
      </w:pPr>
    </w:p>
    <w:p w14:paraId="79606722">
      <w:pPr>
        <w:autoSpaceDE w:val="0"/>
        <w:autoSpaceDN w:val="0"/>
        <w:spacing w:before="33"/>
        <w:ind w:left="221" w:right="277"/>
        <w:jc w:val="center"/>
        <w:rPr>
          <w:rFonts w:ascii="黑体" w:hAnsi="黑体" w:eastAsia="黑体" w:cs="仿宋"/>
          <w:b/>
          <w:kern w:val="0"/>
          <w:sz w:val="48"/>
          <w:szCs w:val="22"/>
          <w:lang w:val="zh-CN" w:bidi="zh-CN"/>
        </w:rPr>
      </w:pPr>
    </w:p>
    <w:p w14:paraId="6DD428E4">
      <w:pPr>
        <w:autoSpaceDE w:val="0"/>
        <w:autoSpaceDN w:val="0"/>
        <w:spacing w:before="33"/>
        <w:ind w:left="221" w:right="277"/>
        <w:jc w:val="center"/>
        <w:rPr>
          <w:rFonts w:ascii="黑体" w:hAnsi="黑体" w:eastAsia="黑体" w:cs="仿宋"/>
          <w:b/>
          <w:kern w:val="0"/>
          <w:sz w:val="48"/>
          <w:szCs w:val="22"/>
          <w:lang w:val="zh-CN" w:bidi="zh-CN"/>
        </w:rPr>
      </w:pPr>
    </w:p>
    <w:p w14:paraId="718DB2DC">
      <w:pPr>
        <w:autoSpaceDE w:val="0"/>
        <w:autoSpaceDN w:val="0"/>
        <w:spacing w:before="33"/>
        <w:ind w:left="221" w:right="277"/>
        <w:jc w:val="center"/>
        <w:rPr>
          <w:rFonts w:ascii="黑体" w:hAnsi="黑体" w:eastAsia="黑体" w:cs="仿宋"/>
          <w:b/>
          <w:kern w:val="0"/>
          <w:sz w:val="48"/>
          <w:szCs w:val="22"/>
          <w:lang w:val="zh-CN" w:bidi="zh-CN"/>
        </w:rPr>
      </w:pPr>
    </w:p>
    <w:p w14:paraId="1466439C">
      <w:pPr>
        <w:autoSpaceDE w:val="0"/>
        <w:autoSpaceDN w:val="0"/>
        <w:spacing w:before="33"/>
        <w:ind w:left="221" w:right="277"/>
        <w:jc w:val="center"/>
        <w:rPr>
          <w:rFonts w:ascii="黑体" w:hAnsi="黑体" w:eastAsia="黑体" w:cs="仿宋"/>
          <w:b/>
          <w:kern w:val="0"/>
          <w:sz w:val="48"/>
          <w:szCs w:val="22"/>
          <w:lang w:val="zh-CN" w:bidi="zh-CN"/>
        </w:rPr>
      </w:pPr>
      <w:r>
        <w:rPr>
          <w:rFonts w:hint="eastAsia" w:ascii="黑体" w:hAnsi="黑体" w:eastAsia="黑体" w:cs="仿宋"/>
          <w:b/>
          <w:kern w:val="0"/>
          <w:sz w:val="48"/>
          <w:szCs w:val="22"/>
          <w:lang w:val="zh-CN" w:bidi="zh-CN"/>
        </w:rPr>
        <w:t>郧阳区电子商务发展规划</w:t>
      </w:r>
    </w:p>
    <w:p w14:paraId="5CEA427E">
      <w:pPr>
        <w:autoSpaceDE w:val="0"/>
        <w:autoSpaceDN w:val="0"/>
        <w:spacing w:before="33"/>
        <w:ind w:left="221" w:right="277"/>
        <w:jc w:val="center"/>
        <w:rPr>
          <w:rFonts w:ascii="黑体" w:hAnsi="黑体" w:eastAsia="黑体" w:cs="仿宋"/>
          <w:b/>
          <w:kern w:val="0"/>
          <w:sz w:val="48"/>
          <w:szCs w:val="22"/>
          <w:lang w:val="zh-CN" w:bidi="zh-CN"/>
        </w:rPr>
      </w:pPr>
    </w:p>
    <w:p w14:paraId="3C833AE9">
      <w:pPr>
        <w:autoSpaceDE w:val="0"/>
        <w:autoSpaceDN w:val="0"/>
        <w:spacing w:before="33"/>
        <w:ind w:left="221" w:right="277"/>
        <w:jc w:val="center"/>
        <w:rPr>
          <w:rFonts w:ascii="黑体" w:hAnsi="黑体" w:eastAsia="黑体" w:cs="仿宋"/>
          <w:b/>
          <w:kern w:val="0"/>
          <w:sz w:val="48"/>
          <w:szCs w:val="22"/>
          <w:lang w:val="zh-CN" w:bidi="zh-CN"/>
        </w:rPr>
      </w:pPr>
      <w:r>
        <w:rPr>
          <w:rFonts w:hint="eastAsia" w:ascii="黑体" w:hAnsi="黑体" w:eastAsia="黑体" w:cs="仿宋"/>
          <w:b/>
          <w:kern w:val="0"/>
          <w:sz w:val="48"/>
          <w:szCs w:val="22"/>
          <w:lang w:val="zh-CN" w:bidi="zh-CN"/>
        </w:rPr>
        <w:t>（2025-2027）</w:t>
      </w:r>
    </w:p>
    <w:p w14:paraId="5F7689A0">
      <w:pPr>
        <w:widowControl/>
        <w:jc w:val="left"/>
        <w:rPr>
          <w:rFonts w:ascii="黑体" w:hAnsi="宋体" w:eastAsia="黑体" w:cs="黑体"/>
          <w:b/>
          <w:bCs/>
          <w:kern w:val="0"/>
          <w:sz w:val="32"/>
          <w:szCs w:val="32"/>
          <w:lang w:bidi="ar"/>
        </w:rPr>
      </w:pPr>
    </w:p>
    <w:p w14:paraId="250F852A">
      <w:pPr>
        <w:widowControl/>
        <w:jc w:val="left"/>
        <w:rPr>
          <w:rFonts w:ascii="黑体" w:hAnsi="宋体" w:eastAsia="黑体" w:cs="黑体"/>
          <w:b/>
          <w:bCs/>
          <w:kern w:val="0"/>
          <w:sz w:val="32"/>
          <w:szCs w:val="32"/>
          <w:lang w:bidi="ar"/>
        </w:rPr>
      </w:pPr>
    </w:p>
    <w:p w14:paraId="11E9CD1B">
      <w:pPr>
        <w:widowControl/>
        <w:jc w:val="left"/>
        <w:rPr>
          <w:rFonts w:ascii="黑体" w:hAnsi="宋体" w:eastAsia="黑体" w:cs="黑体"/>
          <w:b/>
          <w:bCs/>
          <w:kern w:val="0"/>
          <w:sz w:val="32"/>
          <w:szCs w:val="32"/>
          <w:lang w:bidi="ar"/>
        </w:rPr>
      </w:pPr>
    </w:p>
    <w:p w14:paraId="66FC5CDF">
      <w:pPr>
        <w:widowControl/>
        <w:jc w:val="left"/>
        <w:rPr>
          <w:rFonts w:ascii="黑体" w:hAnsi="宋体" w:eastAsia="黑体" w:cs="黑体"/>
          <w:b/>
          <w:bCs/>
          <w:kern w:val="0"/>
          <w:sz w:val="32"/>
          <w:szCs w:val="32"/>
          <w:lang w:bidi="ar"/>
        </w:rPr>
      </w:pPr>
    </w:p>
    <w:p w14:paraId="23B77D9C">
      <w:pPr>
        <w:widowControl/>
        <w:jc w:val="center"/>
        <w:rPr>
          <w:rFonts w:ascii="黑体" w:hAnsi="宋体" w:eastAsia="黑体" w:cs="黑体"/>
          <w:b/>
          <w:bCs/>
          <w:kern w:val="0"/>
          <w:sz w:val="36"/>
          <w:szCs w:val="36"/>
          <w:lang w:bidi="ar"/>
        </w:rPr>
      </w:pPr>
      <w:r>
        <w:rPr>
          <w:rFonts w:hint="eastAsia" w:ascii="黑体" w:hAnsi="宋体" w:eastAsia="黑体" w:cs="黑体"/>
          <w:b/>
          <w:bCs/>
          <w:kern w:val="0"/>
          <w:sz w:val="36"/>
          <w:szCs w:val="36"/>
          <w:lang w:bidi="ar"/>
        </w:rPr>
        <w:t>（修订稿）</w:t>
      </w:r>
    </w:p>
    <w:p w14:paraId="1D4EC394">
      <w:pPr>
        <w:widowControl/>
        <w:jc w:val="left"/>
        <w:rPr>
          <w:rFonts w:ascii="黑体" w:hAnsi="宋体" w:eastAsia="黑体" w:cs="黑体"/>
          <w:b/>
          <w:bCs/>
          <w:kern w:val="0"/>
          <w:sz w:val="32"/>
          <w:szCs w:val="32"/>
          <w:lang w:bidi="ar"/>
        </w:rPr>
      </w:pPr>
    </w:p>
    <w:p w14:paraId="105FD62E">
      <w:pPr>
        <w:widowControl/>
        <w:jc w:val="left"/>
        <w:rPr>
          <w:rFonts w:ascii="黑体" w:hAnsi="宋体" w:eastAsia="黑体" w:cs="黑体"/>
          <w:b/>
          <w:bCs/>
          <w:kern w:val="0"/>
          <w:sz w:val="32"/>
          <w:szCs w:val="32"/>
          <w:lang w:bidi="ar"/>
        </w:rPr>
      </w:pPr>
    </w:p>
    <w:p w14:paraId="02B4B46C">
      <w:pPr>
        <w:widowControl/>
        <w:jc w:val="left"/>
        <w:rPr>
          <w:rFonts w:ascii="黑体" w:hAnsi="宋体" w:eastAsia="黑体" w:cs="黑体"/>
          <w:b/>
          <w:bCs/>
          <w:kern w:val="0"/>
          <w:sz w:val="32"/>
          <w:szCs w:val="32"/>
          <w:lang w:bidi="ar"/>
        </w:rPr>
      </w:pPr>
    </w:p>
    <w:p w14:paraId="7DE56C0D">
      <w:pPr>
        <w:widowControl/>
        <w:jc w:val="center"/>
        <w:rPr>
          <w:rFonts w:ascii="黑体" w:hAnsi="宋体" w:eastAsia="黑体" w:cs="黑体"/>
          <w:b/>
          <w:bCs/>
          <w:kern w:val="0"/>
          <w:sz w:val="32"/>
          <w:szCs w:val="32"/>
          <w:lang w:bidi="ar"/>
        </w:rPr>
      </w:pPr>
    </w:p>
    <w:p w14:paraId="682C49B0">
      <w:pPr>
        <w:widowControl/>
        <w:jc w:val="left"/>
        <w:rPr>
          <w:rFonts w:ascii="黑体" w:hAnsi="宋体" w:eastAsia="黑体" w:cs="黑体"/>
          <w:b/>
          <w:bCs/>
          <w:kern w:val="0"/>
          <w:sz w:val="32"/>
          <w:szCs w:val="32"/>
          <w:lang w:bidi="ar"/>
        </w:rPr>
      </w:pPr>
    </w:p>
    <w:p w14:paraId="7EA0B969">
      <w:pPr>
        <w:widowControl/>
        <w:jc w:val="center"/>
        <w:rPr>
          <w:rFonts w:ascii="黑体" w:hAnsi="宋体" w:eastAsia="黑体" w:cs="黑体"/>
          <w:b/>
          <w:bCs/>
          <w:kern w:val="0"/>
          <w:sz w:val="32"/>
          <w:szCs w:val="32"/>
          <w:lang w:bidi="ar"/>
        </w:rPr>
      </w:pPr>
      <w:r>
        <w:rPr>
          <w:rFonts w:hint="eastAsia" w:ascii="黑体" w:hAnsi="宋体" w:eastAsia="黑体" w:cs="黑体"/>
          <w:b/>
          <w:bCs/>
          <w:kern w:val="0"/>
          <w:sz w:val="32"/>
          <w:szCs w:val="32"/>
          <w:lang w:bidi="ar"/>
        </w:rPr>
        <w:t>2</w:t>
      </w:r>
      <w:r>
        <w:rPr>
          <w:rFonts w:ascii="黑体" w:hAnsi="宋体" w:eastAsia="黑体" w:cs="黑体"/>
          <w:b/>
          <w:bCs/>
          <w:kern w:val="0"/>
          <w:sz w:val="32"/>
          <w:szCs w:val="32"/>
          <w:lang w:bidi="ar"/>
        </w:rPr>
        <w:t>024</w:t>
      </w:r>
      <w:r>
        <w:rPr>
          <w:rFonts w:hint="eastAsia" w:ascii="黑体" w:hAnsi="宋体" w:eastAsia="黑体" w:cs="黑体"/>
          <w:b/>
          <w:bCs/>
          <w:kern w:val="0"/>
          <w:sz w:val="32"/>
          <w:szCs w:val="32"/>
          <w:lang w:bidi="ar"/>
        </w:rPr>
        <w:t>年1</w:t>
      </w:r>
      <w:r>
        <w:rPr>
          <w:rFonts w:ascii="黑体" w:hAnsi="宋体" w:eastAsia="黑体" w:cs="黑体"/>
          <w:b/>
          <w:bCs/>
          <w:kern w:val="0"/>
          <w:sz w:val="32"/>
          <w:szCs w:val="32"/>
          <w:lang w:bidi="ar"/>
        </w:rPr>
        <w:t>1</w:t>
      </w:r>
      <w:r>
        <w:rPr>
          <w:rFonts w:hint="eastAsia" w:ascii="黑体" w:hAnsi="宋体" w:eastAsia="黑体" w:cs="黑体"/>
          <w:b/>
          <w:bCs/>
          <w:kern w:val="0"/>
          <w:sz w:val="32"/>
          <w:szCs w:val="32"/>
          <w:lang w:bidi="ar"/>
        </w:rPr>
        <w:t>月</w:t>
      </w:r>
    </w:p>
    <w:p w14:paraId="561BB674">
      <w:pPr>
        <w:widowControl/>
        <w:jc w:val="left"/>
        <w:rPr>
          <w:rFonts w:ascii="黑体" w:hAnsi="宋体" w:eastAsia="黑体" w:cs="黑体"/>
          <w:b/>
          <w:bCs/>
          <w:kern w:val="0"/>
          <w:sz w:val="32"/>
          <w:szCs w:val="32"/>
          <w:lang w:bidi="ar"/>
        </w:rPr>
      </w:pPr>
    </w:p>
    <w:p w14:paraId="70017D1C">
      <w:pPr>
        <w:widowControl/>
        <w:jc w:val="left"/>
        <w:rPr>
          <w:rFonts w:ascii="黑体" w:hAnsi="宋体" w:eastAsia="黑体" w:cs="黑体"/>
          <w:b/>
          <w:bCs/>
          <w:kern w:val="0"/>
          <w:sz w:val="32"/>
          <w:szCs w:val="32"/>
          <w:lang w:bidi="ar"/>
        </w:rPr>
      </w:pPr>
    </w:p>
    <w:sdt>
      <w:sdtPr>
        <w:rPr>
          <w:rFonts w:ascii="仿宋" w:hAnsi="仿宋" w:eastAsia="仿宋" w:cs="仿宋"/>
          <w:kern w:val="0"/>
          <w:sz w:val="44"/>
          <w:szCs w:val="22"/>
          <w:lang w:val="zh-CN" w:bidi="zh-CN"/>
        </w:rPr>
        <w:id w:val="147470551"/>
        <w15:color w:val="DBDBDB"/>
        <w:docPartObj>
          <w:docPartGallery w:val="Table of Contents"/>
          <w:docPartUnique/>
        </w:docPartObj>
      </w:sdtPr>
      <w:sdtEndPr>
        <w:rPr>
          <w:rFonts w:hint="eastAsia" w:ascii="微软雅黑" w:hAnsi="仿宋" w:eastAsia="微软雅黑" w:cs="仿宋"/>
          <w:b/>
          <w:kern w:val="0"/>
          <w:sz w:val="32"/>
          <w:szCs w:val="32"/>
          <w:lang w:val="zh-CN" w:bidi="zh-CN"/>
        </w:rPr>
      </w:sdtEndPr>
      <w:sdtContent>
        <w:p w14:paraId="53C4FDAC">
          <w:pPr>
            <w:autoSpaceDE w:val="0"/>
            <w:autoSpaceDN w:val="0"/>
            <w:spacing w:before="39"/>
            <w:ind w:left="219" w:right="277"/>
            <w:jc w:val="center"/>
            <w:rPr>
              <w:rFonts w:ascii="仿宋" w:hAnsi="仿宋" w:eastAsia="仿宋" w:cs="仿宋"/>
              <w:kern w:val="0"/>
              <w:sz w:val="44"/>
              <w:szCs w:val="22"/>
              <w:lang w:val="zh-CN" w:bidi="zh-CN"/>
            </w:rPr>
          </w:pPr>
          <w:r>
            <w:rPr>
              <w:rFonts w:ascii="仿宋" w:hAnsi="仿宋" w:eastAsia="仿宋" w:cs="仿宋"/>
              <w:kern w:val="0"/>
              <w:sz w:val="44"/>
              <w:szCs w:val="22"/>
              <w:lang w:val="zh-CN" w:bidi="zh-CN"/>
            </w:rPr>
            <w:t>目录</w:t>
          </w:r>
        </w:p>
        <w:p w14:paraId="54303F91">
          <w:pPr>
            <w:pStyle w:val="10"/>
            <w:tabs>
              <w:tab w:val="right" w:leader="dot" w:pos="8296"/>
            </w:tabs>
            <w:spacing w:line="360" w:lineRule="auto"/>
            <w:rPr>
              <w:rFonts w:ascii="Times New Roman" w:hAnsi="Times New Roman" w:cs="Times New Roman"/>
              <w:sz w:val="24"/>
            </w:rPr>
          </w:pPr>
          <w:r>
            <w:rPr>
              <w:rFonts w:ascii="Times New Roman" w:hAnsi="Times New Roman" w:eastAsia="仿宋" w:cs="Times New Roman"/>
              <w:kern w:val="0"/>
              <w:sz w:val="24"/>
            </w:rPr>
            <w:fldChar w:fldCharType="begin"/>
          </w:r>
          <w:r>
            <w:rPr>
              <w:rFonts w:ascii="Times New Roman" w:hAnsi="Times New Roman" w:eastAsia="仿宋" w:cs="Times New Roman"/>
              <w:kern w:val="0"/>
              <w:sz w:val="24"/>
            </w:rPr>
            <w:instrText xml:space="preserve">TOC \o "1-2" \h \u </w:instrText>
          </w:r>
          <w:r>
            <w:rPr>
              <w:rFonts w:ascii="Times New Roman" w:hAnsi="Times New Roman" w:eastAsia="仿宋" w:cs="Times New Roman"/>
              <w:kern w:val="0"/>
              <w:sz w:val="24"/>
            </w:rPr>
            <w:fldChar w:fldCharType="separate"/>
          </w:r>
          <w:r>
            <w:fldChar w:fldCharType="begin"/>
          </w:r>
          <w:r>
            <w:instrText xml:space="preserve"> HYPERLINK \l "_Toc183083262" </w:instrText>
          </w:r>
          <w:r>
            <w:fldChar w:fldCharType="separate"/>
          </w:r>
          <w:r>
            <w:rPr>
              <w:rStyle w:val="20"/>
              <w:rFonts w:ascii="Times New Roman" w:hAnsi="Times New Roman" w:eastAsia="黑体" w:cs="Times New Roman"/>
              <w:color w:val="auto"/>
              <w:sz w:val="24"/>
              <w:lang w:bidi="ar"/>
            </w:rPr>
            <w:t>第一章 发展现状与发展环境</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_Toc183083262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14:paraId="6A73D09F">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"_Toc183083263" </w:instrText>
          </w:r>
          <w:r>
            <w:fldChar w:fldCharType="separate"/>
          </w:r>
          <w:r>
            <w:rPr>
              <w:rStyle w:val="20"/>
              <w:rFonts w:ascii="Times New Roman" w:hAnsi="Times New Roman" w:cs="Times New Roman"/>
              <w:color w:val="auto"/>
              <w:sz w:val="24"/>
            </w:rPr>
            <w:t>一、发展基础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_Toc183083263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14:paraId="1A363BE1">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"_Toc183083264" </w:instrText>
          </w:r>
          <w:r>
            <w:fldChar w:fldCharType="separate"/>
          </w:r>
          <w:r>
            <w:rPr>
              <w:rStyle w:val="20"/>
              <w:rFonts w:ascii="Times New Roman" w:hAnsi="Times New Roman" w:cs="Times New Roman"/>
              <w:color w:val="auto"/>
              <w:sz w:val="24"/>
            </w:rPr>
            <w:t>二、发展成绩</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_Toc183083264 \h </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r>
            <w:rPr>
              <w:rFonts w:ascii="Times New Roman" w:hAnsi="Times New Roman" w:cs="Times New Roman"/>
              <w:sz w:val="24"/>
            </w:rPr>
            <w:fldChar w:fldCharType="end"/>
          </w:r>
        </w:p>
        <w:p w14:paraId="1CD407E7">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"_Toc183083265" </w:instrText>
          </w:r>
          <w:r>
            <w:fldChar w:fldCharType="separate"/>
          </w:r>
          <w:r>
            <w:rPr>
              <w:rStyle w:val="20"/>
              <w:rFonts w:ascii="Times New Roman" w:hAnsi="Times New Roman" w:cs="Times New Roman"/>
              <w:color w:val="auto"/>
              <w:sz w:val="24"/>
            </w:rPr>
            <w:t>三、存在问题</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_Toc183083265 \h </w:instrText>
          </w:r>
          <w:r>
            <w:rPr>
              <w:rFonts w:ascii="Times New Roman" w:hAnsi="Times New Roman" w:cs="Times New Roman"/>
              <w:sz w:val="24"/>
            </w:rPr>
            <w:fldChar w:fldCharType="separate"/>
          </w:r>
          <w:r>
            <w:rPr>
              <w:rFonts w:ascii="Times New Roman" w:hAnsi="Times New Roman" w:cs="Times New Roman"/>
              <w:sz w:val="24"/>
            </w:rPr>
            <w:t>5</w:t>
          </w:r>
          <w:r>
            <w:rPr>
              <w:rFonts w:ascii="Times New Roman" w:hAnsi="Times New Roman" w:cs="Times New Roman"/>
              <w:sz w:val="24"/>
            </w:rPr>
            <w:fldChar w:fldCharType="end"/>
          </w:r>
          <w:r>
            <w:rPr>
              <w:rFonts w:ascii="Times New Roman" w:hAnsi="Times New Roman" w:cs="Times New Roman"/>
              <w:sz w:val="24"/>
            </w:rPr>
            <w:fldChar w:fldCharType="end"/>
          </w:r>
        </w:p>
        <w:p w14:paraId="5133650A">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"_Toc183083266" </w:instrText>
          </w:r>
          <w:r>
            <w:fldChar w:fldCharType="separate"/>
          </w:r>
          <w:r>
            <w:rPr>
              <w:rStyle w:val="20"/>
              <w:rFonts w:ascii="Times New Roman" w:hAnsi="Times New Roman" w:cs="Times New Roman"/>
              <w:color w:val="auto"/>
              <w:sz w:val="24"/>
            </w:rPr>
            <w:t>四、发展机遇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_Toc183083266 \h </w:instrText>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r>
            <w:rPr>
              <w:rFonts w:ascii="Times New Roman" w:hAnsi="Times New Roman" w:cs="Times New Roman"/>
              <w:sz w:val="24"/>
            </w:rPr>
            <w:fldChar w:fldCharType="end"/>
          </w:r>
        </w:p>
        <w:p w14:paraId="2CA1D407">
          <w:pPr>
            <w:pStyle w:val="10"/>
            <w:tabs>
              <w:tab w:val="right" w:leader="dot" w:pos="8296"/>
            </w:tabs>
            <w:spacing w:line="360" w:lineRule="auto"/>
            <w:rPr>
              <w:rFonts w:ascii="Times New Roman" w:hAnsi="Times New Roman" w:cs="Times New Roman"/>
              <w:sz w:val="24"/>
            </w:rPr>
          </w:pPr>
          <w:r>
            <w:fldChar w:fldCharType="begin"/>
          </w:r>
          <w:r>
            <w:instrText xml:space="preserve"> HYPERLINK \l "_Toc183083267" </w:instrText>
          </w:r>
          <w:r>
            <w:fldChar w:fldCharType="separate"/>
          </w:r>
          <w:r>
            <w:rPr>
              <w:rStyle w:val="20"/>
              <w:rFonts w:ascii="Times New Roman" w:hAnsi="Times New Roman" w:eastAsia="黑体" w:cs="Times New Roman"/>
              <w:color w:val="auto"/>
              <w:sz w:val="24"/>
              <w:lang w:bidi="ar"/>
            </w:rPr>
            <w:t>第二章 总体要求和发展目标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_Toc183083267 \h </w:instrText>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fldChar w:fldCharType="end"/>
          </w:r>
        </w:p>
        <w:p w14:paraId="2FF41431">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"_Toc183083268" </w:instrText>
          </w:r>
          <w:r>
            <w:fldChar w:fldCharType="separate"/>
          </w:r>
          <w:r>
            <w:rPr>
              <w:rStyle w:val="20"/>
              <w:rFonts w:ascii="Times New Roman" w:hAnsi="Times New Roman" w:cs="Times New Roman"/>
              <w:color w:val="auto"/>
              <w:sz w:val="24"/>
            </w:rPr>
            <w:t>一、指导思想</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_Toc183083268 \h </w:instrText>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fldChar w:fldCharType="end"/>
          </w:r>
        </w:p>
        <w:p w14:paraId="33FF9818">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"_Toc183083269" </w:instrText>
          </w:r>
          <w:r>
            <w:fldChar w:fldCharType="separate"/>
          </w:r>
          <w:r>
            <w:rPr>
              <w:rStyle w:val="20"/>
              <w:rFonts w:ascii="Times New Roman" w:hAnsi="Times New Roman" w:cs="Times New Roman"/>
              <w:color w:val="auto"/>
              <w:sz w:val="24"/>
            </w:rPr>
            <w:t>二、基本原则</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_Toc183083269 \h </w:instrText>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fldChar w:fldCharType="end"/>
          </w:r>
        </w:p>
        <w:p w14:paraId="6DD934E6">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"_Toc183083270" </w:instrText>
          </w:r>
          <w:r>
            <w:fldChar w:fldCharType="separate"/>
          </w:r>
          <w:r>
            <w:rPr>
              <w:rStyle w:val="20"/>
              <w:rFonts w:ascii="Times New Roman" w:hAnsi="Times New Roman" w:cs="Times New Roman"/>
              <w:color w:val="auto"/>
              <w:sz w:val="24"/>
            </w:rPr>
            <w:t>三、战略定位</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_Toc183083270 \h </w:instrText>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r>
            <w:rPr>
              <w:rFonts w:ascii="Times New Roman" w:hAnsi="Times New Roman" w:cs="Times New Roman"/>
              <w:sz w:val="24"/>
            </w:rPr>
            <w:fldChar w:fldCharType="end"/>
          </w:r>
        </w:p>
        <w:p w14:paraId="29EE9554">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"_Toc183083271" </w:instrText>
          </w:r>
          <w:r>
            <w:fldChar w:fldCharType="separate"/>
          </w:r>
          <w:r>
            <w:rPr>
              <w:rStyle w:val="20"/>
              <w:rFonts w:ascii="Times New Roman" w:hAnsi="Times New Roman" w:cs="Times New Roman"/>
              <w:color w:val="auto"/>
              <w:sz w:val="24"/>
            </w:rPr>
            <w:t>四、发展目标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_Toc183083271 \h </w:instrText>
          </w:r>
          <w:r>
            <w:rPr>
              <w:rFonts w:ascii="Times New Roman" w:hAnsi="Times New Roman" w:cs="Times New Roman"/>
              <w:sz w:val="24"/>
            </w:rPr>
            <w:fldChar w:fldCharType="separate"/>
          </w:r>
          <w:r>
            <w:rPr>
              <w:rFonts w:ascii="Times New Roman" w:hAnsi="Times New Roman" w:cs="Times New Roman"/>
              <w:sz w:val="24"/>
            </w:rPr>
            <w:t>12</w:t>
          </w:r>
          <w:r>
            <w:rPr>
              <w:rFonts w:ascii="Times New Roman" w:hAnsi="Times New Roman" w:cs="Times New Roman"/>
              <w:sz w:val="24"/>
            </w:rPr>
            <w:fldChar w:fldCharType="end"/>
          </w:r>
          <w:r>
            <w:rPr>
              <w:rFonts w:ascii="Times New Roman" w:hAnsi="Times New Roman" w:cs="Times New Roman"/>
              <w:sz w:val="24"/>
            </w:rPr>
            <w:fldChar w:fldCharType="end"/>
          </w:r>
        </w:p>
        <w:p w14:paraId="77189506">
          <w:pPr>
            <w:pStyle w:val="10"/>
            <w:tabs>
              <w:tab w:val="right" w:leader="dot" w:pos="8296"/>
            </w:tabs>
            <w:spacing w:line="360" w:lineRule="auto"/>
            <w:rPr>
              <w:rFonts w:ascii="Times New Roman" w:hAnsi="Times New Roman" w:cs="Times New Roman"/>
              <w:sz w:val="24"/>
            </w:rPr>
          </w:pPr>
          <w:r>
            <w:fldChar w:fldCharType="begin"/>
          </w:r>
          <w:r>
            <w:instrText xml:space="preserve"> HYPERLINK \l "_Toc183083272" </w:instrText>
          </w:r>
          <w:r>
            <w:fldChar w:fldCharType="separate"/>
          </w:r>
          <w:r>
            <w:rPr>
              <w:rStyle w:val="20"/>
              <w:rFonts w:ascii="Times New Roman" w:hAnsi="Times New Roman" w:eastAsia="黑体" w:cs="Times New Roman"/>
              <w:color w:val="auto"/>
              <w:sz w:val="24"/>
              <w:lang w:bidi="ar"/>
            </w:rPr>
            <w:t>第三章 发展布局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_Toc183083272 \h </w:instrText>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r>
            <w:rPr>
              <w:rFonts w:ascii="Times New Roman" w:hAnsi="Times New Roman" w:cs="Times New Roman"/>
              <w:sz w:val="24"/>
            </w:rPr>
            <w:fldChar w:fldCharType="end"/>
          </w:r>
        </w:p>
        <w:p w14:paraId="4CE33CB0">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"_Toc183083273" </w:instrText>
          </w:r>
          <w:r>
            <w:fldChar w:fldCharType="separate"/>
          </w:r>
          <w:r>
            <w:rPr>
              <w:rStyle w:val="20"/>
              <w:rFonts w:ascii="Times New Roman" w:hAnsi="Times New Roman" w:cs="Times New Roman"/>
              <w:color w:val="auto"/>
              <w:sz w:val="24"/>
            </w:rPr>
            <w:t>一、一核引领</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_Toc183083273 \h </w:instrText>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r>
            <w:rPr>
              <w:rFonts w:ascii="Times New Roman" w:hAnsi="Times New Roman" w:cs="Times New Roman"/>
              <w:sz w:val="24"/>
            </w:rPr>
            <w:fldChar w:fldCharType="end"/>
          </w:r>
        </w:p>
        <w:p w14:paraId="6AA0259D">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"_Toc183083274" </w:instrText>
          </w:r>
          <w:r>
            <w:fldChar w:fldCharType="separate"/>
          </w:r>
          <w:r>
            <w:rPr>
              <w:rStyle w:val="20"/>
              <w:rFonts w:ascii="Times New Roman" w:hAnsi="Times New Roman" w:cs="Times New Roman"/>
              <w:color w:val="auto"/>
              <w:sz w:val="24"/>
            </w:rPr>
            <w:t>二、两翼齐飞</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_Toc183083274 \h </w:instrText>
          </w:r>
          <w:r>
            <w:rPr>
              <w:rFonts w:ascii="Times New Roman" w:hAnsi="Times New Roman" w:cs="Times New Roman"/>
              <w:sz w:val="24"/>
            </w:rPr>
            <w:fldChar w:fldCharType="separate"/>
          </w:r>
          <w:r>
            <w:rPr>
              <w:rFonts w:ascii="Times New Roman" w:hAnsi="Times New Roman" w:cs="Times New Roman"/>
              <w:sz w:val="24"/>
            </w:rPr>
            <w:t>16</w:t>
          </w:r>
          <w:r>
            <w:rPr>
              <w:rFonts w:ascii="Times New Roman" w:hAnsi="Times New Roman" w:cs="Times New Roman"/>
              <w:sz w:val="24"/>
            </w:rPr>
            <w:fldChar w:fldCharType="end"/>
          </w:r>
          <w:r>
            <w:rPr>
              <w:rFonts w:ascii="Times New Roman" w:hAnsi="Times New Roman" w:cs="Times New Roman"/>
              <w:sz w:val="24"/>
            </w:rPr>
            <w:fldChar w:fldCharType="end"/>
          </w:r>
        </w:p>
        <w:p w14:paraId="246EE4BB">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"_Toc183083275" </w:instrText>
          </w:r>
          <w:r>
            <w:fldChar w:fldCharType="separate"/>
          </w:r>
          <w:r>
            <w:rPr>
              <w:rStyle w:val="20"/>
              <w:rFonts w:ascii="Times New Roman" w:hAnsi="Times New Roman" w:cs="Times New Roman"/>
              <w:color w:val="auto"/>
              <w:sz w:val="24"/>
            </w:rPr>
            <w:t>三、三镇辐射</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_Toc183083275 \h </w:instrText>
          </w:r>
          <w:r>
            <w:rPr>
              <w:rFonts w:ascii="Times New Roman" w:hAnsi="Times New Roman" w:cs="Times New Roman"/>
              <w:sz w:val="24"/>
            </w:rPr>
            <w:fldChar w:fldCharType="separate"/>
          </w:r>
          <w:r>
            <w:rPr>
              <w:rFonts w:ascii="Times New Roman" w:hAnsi="Times New Roman" w:cs="Times New Roman"/>
              <w:sz w:val="24"/>
            </w:rPr>
            <w:t>17</w:t>
          </w:r>
          <w:r>
            <w:rPr>
              <w:rFonts w:ascii="Times New Roman" w:hAnsi="Times New Roman" w:cs="Times New Roman"/>
              <w:sz w:val="24"/>
            </w:rPr>
            <w:fldChar w:fldCharType="end"/>
          </w:r>
          <w:r>
            <w:rPr>
              <w:rFonts w:ascii="Times New Roman" w:hAnsi="Times New Roman" w:cs="Times New Roman"/>
              <w:sz w:val="24"/>
            </w:rPr>
            <w:fldChar w:fldCharType="end"/>
          </w:r>
        </w:p>
        <w:p w14:paraId="0A0D259A">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"_Toc183083276" </w:instrText>
          </w:r>
          <w:r>
            <w:fldChar w:fldCharType="separate"/>
          </w:r>
          <w:r>
            <w:rPr>
              <w:rStyle w:val="20"/>
              <w:rFonts w:ascii="Times New Roman" w:hAnsi="Times New Roman" w:cs="Times New Roman"/>
              <w:color w:val="auto"/>
              <w:sz w:val="24"/>
            </w:rPr>
            <w:t>四、多点发力</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_Toc183083276 \h </w:instrText>
          </w:r>
          <w:r>
            <w:rPr>
              <w:rFonts w:ascii="Times New Roman" w:hAnsi="Times New Roman" w:cs="Times New Roman"/>
              <w:sz w:val="24"/>
            </w:rPr>
            <w:fldChar w:fldCharType="separate"/>
          </w:r>
          <w:r>
            <w:rPr>
              <w:rFonts w:ascii="Times New Roman" w:hAnsi="Times New Roman" w:cs="Times New Roman"/>
              <w:sz w:val="24"/>
            </w:rPr>
            <w:t>18</w:t>
          </w:r>
          <w:r>
            <w:rPr>
              <w:rFonts w:ascii="Times New Roman" w:hAnsi="Times New Roman" w:cs="Times New Roman"/>
              <w:sz w:val="24"/>
            </w:rPr>
            <w:fldChar w:fldCharType="end"/>
          </w:r>
          <w:r>
            <w:rPr>
              <w:rFonts w:ascii="Times New Roman" w:hAnsi="Times New Roman" w:cs="Times New Roman"/>
              <w:sz w:val="24"/>
            </w:rPr>
            <w:fldChar w:fldCharType="end"/>
          </w:r>
        </w:p>
        <w:p w14:paraId="2EF0CA90">
          <w:pPr>
            <w:pStyle w:val="10"/>
            <w:tabs>
              <w:tab w:val="right" w:leader="dot" w:pos="8296"/>
            </w:tabs>
            <w:spacing w:line="360" w:lineRule="auto"/>
            <w:rPr>
              <w:rFonts w:ascii="Times New Roman" w:hAnsi="Times New Roman" w:cs="Times New Roman"/>
              <w:sz w:val="24"/>
            </w:rPr>
          </w:pPr>
          <w:r>
            <w:fldChar w:fldCharType="begin"/>
          </w:r>
          <w:r>
            <w:instrText xml:space="preserve"> HYPERLINK \l "_Toc183083277" </w:instrText>
          </w:r>
          <w:r>
            <w:fldChar w:fldCharType="separate"/>
          </w:r>
          <w:r>
            <w:rPr>
              <w:rStyle w:val="20"/>
              <w:rFonts w:ascii="Times New Roman" w:hAnsi="Times New Roman" w:eastAsia="黑体" w:cs="Times New Roman"/>
              <w:color w:val="auto"/>
              <w:sz w:val="24"/>
              <w:lang w:bidi="ar"/>
            </w:rPr>
            <w:t>第四章 主要任务</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_Toc183083277 \h </w:instrText>
          </w:r>
          <w:r>
            <w:rPr>
              <w:rFonts w:ascii="Times New Roman" w:hAnsi="Times New Roman" w:cs="Times New Roman"/>
              <w:sz w:val="24"/>
            </w:rPr>
            <w:fldChar w:fldCharType="separate"/>
          </w:r>
          <w:r>
            <w:rPr>
              <w:rFonts w:ascii="Times New Roman" w:hAnsi="Times New Roman" w:cs="Times New Roman"/>
              <w:sz w:val="24"/>
            </w:rPr>
            <w:t>21</w:t>
          </w:r>
          <w:r>
            <w:rPr>
              <w:rFonts w:ascii="Times New Roman" w:hAnsi="Times New Roman" w:cs="Times New Roman"/>
              <w:sz w:val="24"/>
            </w:rPr>
            <w:fldChar w:fldCharType="end"/>
          </w:r>
          <w:r>
            <w:rPr>
              <w:rFonts w:ascii="Times New Roman" w:hAnsi="Times New Roman" w:cs="Times New Roman"/>
              <w:sz w:val="24"/>
            </w:rPr>
            <w:fldChar w:fldCharType="end"/>
          </w:r>
        </w:p>
        <w:p w14:paraId="0529EA4C">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"_Toc183083278" </w:instrText>
          </w:r>
          <w:r>
            <w:fldChar w:fldCharType="separate"/>
          </w:r>
          <w:r>
            <w:rPr>
              <w:rStyle w:val="20"/>
              <w:rFonts w:ascii="Times New Roman" w:hAnsi="Times New Roman" w:cs="Times New Roman"/>
              <w:color w:val="auto"/>
              <w:sz w:val="24"/>
            </w:rPr>
            <w:t>一、强化电商支撑要素</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_Toc183083278 \h </w:instrText>
          </w:r>
          <w:r>
            <w:rPr>
              <w:rFonts w:ascii="Times New Roman" w:hAnsi="Times New Roman" w:cs="Times New Roman"/>
              <w:sz w:val="24"/>
            </w:rPr>
            <w:fldChar w:fldCharType="separate"/>
          </w:r>
          <w:r>
            <w:rPr>
              <w:rFonts w:ascii="Times New Roman" w:hAnsi="Times New Roman" w:cs="Times New Roman"/>
              <w:sz w:val="24"/>
            </w:rPr>
            <w:t>21</w:t>
          </w:r>
          <w:r>
            <w:rPr>
              <w:rFonts w:ascii="Times New Roman" w:hAnsi="Times New Roman" w:cs="Times New Roman"/>
              <w:sz w:val="24"/>
            </w:rPr>
            <w:fldChar w:fldCharType="end"/>
          </w:r>
          <w:r>
            <w:rPr>
              <w:rFonts w:ascii="Times New Roman" w:hAnsi="Times New Roman" w:cs="Times New Roman"/>
              <w:sz w:val="24"/>
            </w:rPr>
            <w:fldChar w:fldCharType="end"/>
          </w:r>
        </w:p>
        <w:p w14:paraId="0E9F1B2B">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"_Toc183083279" </w:instrText>
          </w:r>
          <w:r>
            <w:fldChar w:fldCharType="separate"/>
          </w:r>
          <w:r>
            <w:rPr>
              <w:rStyle w:val="20"/>
              <w:rFonts w:ascii="Times New Roman" w:hAnsi="Times New Roman" w:cs="Times New Roman"/>
              <w:color w:val="auto"/>
              <w:sz w:val="24"/>
            </w:rPr>
            <w:t>二、优化公共服务体系</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_Toc183083279 \h </w:instrText>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r>
            <w:rPr>
              <w:rFonts w:ascii="Times New Roman" w:hAnsi="Times New Roman" w:cs="Times New Roman"/>
              <w:sz w:val="24"/>
            </w:rPr>
            <w:fldChar w:fldCharType="end"/>
          </w:r>
        </w:p>
        <w:p w14:paraId="06EF294B">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"_Toc183083280" </w:instrText>
          </w:r>
          <w:r>
            <w:fldChar w:fldCharType="separate"/>
          </w:r>
          <w:r>
            <w:rPr>
              <w:rStyle w:val="20"/>
              <w:rFonts w:ascii="Times New Roman" w:hAnsi="Times New Roman" w:cs="Times New Roman"/>
              <w:color w:val="auto"/>
              <w:sz w:val="24"/>
            </w:rPr>
            <w:t>三、促进电商三产融合</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_Toc183083280 \h </w:instrText>
          </w:r>
          <w:r>
            <w:rPr>
              <w:rFonts w:ascii="Times New Roman" w:hAnsi="Times New Roman" w:cs="Times New Roman"/>
              <w:sz w:val="24"/>
            </w:rPr>
            <w:fldChar w:fldCharType="separate"/>
          </w:r>
          <w:r>
            <w:rPr>
              <w:rFonts w:ascii="Times New Roman" w:hAnsi="Times New Roman" w:cs="Times New Roman"/>
              <w:sz w:val="24"/>
            </w:rPr>
            <w:t>26</w:t>
          </w:r>
          <w:r>
            <w:rPr>
              <w:rFonts w:ascii="Times New Roman" w:hAnsi="Times New Roman" w:cs="Times New Roman"/>
              <w:sz w:val="24"/>
            </w:rPr>
            <w:fldChar w:fldCharType="end"/>
          </w:r>
          <w:r>
            <w:rPr>
              <w:rFonts w:ascii="Times New Roman" w:hAnsi="Times New Roman" w:cs="Times New Roman"/>
              <w:sz w:val="24"/>
            </w:rPr>
            <w:fldChar w:fldCharType="end"/>
          </w:r>
        </w:p>
        <w:p w14:paraId="7246541D">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"_Toc183083281" </w:instrText>
          </w:r>
          <w:r>
            <w:fldChar w:fldCharType="separate"/>
          </w:r>
          <w:r>
            <w:rPr>
              <w:rStyle w:val="20"/>
              <w:rFonts w:ascii="Times New Roman" w:hAnsi="Times New Roman" w:cs="Times New Roman"/>
              <w:color w:val="auto"/>
              <w:sz w:val="24"/>
            </w:rPr>
            <w:t>四、升级物流配送体系</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_Toc183083281 \h </w:instrText>
          </w:r>
          <w:r>
            <w:rPr>
              <w:rFonts w:ascii="Times New Roman" w:hAnsi="Times New Roman" w:cs="Times New Roman"/>
              <w:sz w:val="24"/>
            </w:rPr>
            <w:fldChar w:fldCharType="separate"/>
          </w:r>
          <w:r>
            <w:rPr>
              <w:rFonts w:ascii="Times New Roman" w:hAnsi="Times New Roman" w:cs="Times New Roman"/>
              <w:sz w:val="24"/>
            </w:rPr>
            <w:t>27</w:t>
          </w:r>
          <w:r>
            <w:rPr>
              <w:rFonts w:ascii="Times New Roman" w:hAnsi="Times New Roman" w:cs="Times New Roman"/>
              <w:sz w:val="24"/>
            </w:rPr>
            <w:fldChar w:fldCharType="end"/>
          </w:r>
          <w:r>
            <w:rPr>
              <w:rFonts w:ascii="Times New Roman" w:hAnsi="Times New Roman" w:cs="Times New Roman"/>
              <w:sz w:val="24"/>
            </w:rPr>
            <w:fldChar w:fldCharType="end"/>
          </w:r>
        </w:p>
        <w:p w14:paraId="18D8DD52">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"_Toc183083282" </w:instrText>
          </w:r>
          <w:r>
            <w:fldChar w:fldCharType="separate"/>
          </w:r>
          <w:r>
            <w:rPr>
              <w:rStyle w:val="20"/>
              <w:rFonts w:ascii="Times New Roman" w:hAnsi="Times New Roman" w:cs="Times New Roman"/>
              <w:color w:val="auto"/>
              <w:sz w:val="24"/>
            </w:rPr>
            <w:t>五、推动跨境电商发展</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_Toc183083282 \h </w:instrText>
          </w:r>
          <w:r>
            <w:rPr>
              <w:rFonts w:ascii="Times New Roman" w:hAnsi="Times New Roman" w:cs="Times New Roman"/>
              <w:sz w:val="24"/>
            </w:rPr>
            <w:fldChar w:fldCharType="separate"/>
          </w:r>
          <w:r>
            <w:rPr>
              <w:rFonts w:ascii="Times New Roman" w:hAnsi="Times New Roman" w:cs="Times New Roman"/>
              <w:sz w:val="24"/>
            </w:rPr>
            <w:t>29</w:t>
          </w:r>
          <w:r>
            <w:rPr>
              <w:rFonts w:ascii="Times New Roman" w:hAnsi="Times New Roman" w:cs="Times New Roman"/>
              <w:sz w:val="24"/>
            </w:rPr>
            <w:fldChar w:fldCharType="end"/>
          </w:r>
          <w:r>
            <w:rPr>
              <w:rFonts w:ascii="Times New Roman" w:hAnsi="Times New Roman" w:cs="Times New Roman"/>
              <w:sz w:val="24"/>
            </w:rPr>
            <w:fldChar w:fldCharType="end"/>
          </w:r>
        </w:p>
        <w:p w14:paraId="04526E30">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"_Toc183083283" </w:instrText>
          </w:r>
          <w:r>
            <w:fldChar w:fldCharType="separate"/>
          </w:r>
          <w:r>
            <w:rPr>
              <w:rStyle w:val="20"/>
              <w:rFonts w:ascii="Times New Roman" w:hAnsi="Times New Roman" w:cs="Times New Roman"/>
              <w:color w:val="auto"/>
              <w:sz w:val="24"/>
            </w:rPr>
            <w:t>六、聚焦产品品牌建设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_Toc183083283 \h </w:instrText>
          </w:r>
          <w:r>
            <w:rPr>
              <w:rFonts w:ascii="Times New Roman" w:hAnsi="Times New Roman" w:cs="Times New Roman"/>
              <w:sz w:val="24"/>
            </w:rPr>
            <w:fldChar w:fldCharType="separate"/>
          </w:r>
          <w:r>
            <w:rPr>
              <w:rFonts w:ascii="Times New Roman" w:hAnsi="Times New Roman" w:cs="Times New Roman"/>
              <w:sz w:val="24"/>
            </w:rPr>
            <w:t>30</w:t>
          </w:r>
          <w:r>
            <w:rPr>
              <w:rFonts w:ascii="Times New Roman" w:hAnsi="Times New Roman" w:cs="Times New Roman"/>
              <w:sz w:val="24"/>
            </w:rPr>
            <w:fldChar w:fldCharType="end"/>
          </w:r>
          <w:r>
            <w:rPr>
              <w:rFonts w:ascii="Times New Roman" w:hAnsi="Times New Roman" w:cs="Times New Roman"/>
              <w:sz w:val="24"/>
            </w:rPr>
            <w:fldChar w:fldCharType="end"/>
          </w:r>
        </w:p>
        <w:p w14:paraId="62E851BC">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"_Toc183083284" </w:instrText>
          </w:r>
          <w:r>
            <w:fldChar w:fldCharType="separate"/>
          </w:r>
          <w:r>
            <w:rPr>
              <w:rStyle w:val="20"/>
              <w:rFonts w:ascii="Times New Roman" w:hAnsi="Times New Roman" w:cs="Times New Roman"/>
              <w:color w:val="auto"/>
              <w:sz w:val="24"/>
            </w:rPr>
            <w:t>七、加强电商主体引培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_Toc183083284 \h </w:instrText>
          </w:r>
          <w:r>
            <w:rPr>
              <w:rFonts w:ascii="Times New Roman" w:hAnsi="Times New Roman" w:cs="Times New Roman"/>
              <w:sz w:val="24"/>
            </w:rPr>
            <w:fldChar w:fldCharType="separate"/>
          </w:r>
          <w:r>
            <w:rPr>
              <w:rFonts w:ascii="Times New Roman" w:hAnsi="Times New Roman" w:cs="Times New Roman"/>
              <w:sz w:val="24"/>
            </w:rPr>
            <w:t>32</w:t>
          </w:r>
          <w:r>
            <w:rPr>
              <w:rFonts w:ascii="Times New Roman" w:hAnsi="Times New Roman" w:cs="Times New Roman"/>
              <w:sz w:val="24"/>
            </w:rPr>
            <w:fldChar w:fldCharType="end"/>
          </w:r>
          <w:r>
            <w:rPr>
              <w:rFonts w:ascii="Times New Roman" w:hAnsi="Times New Roman" w:cs="Times New Roman"/>
              <w:sz w:val="24"/>
            </w:rPr>
            <w:fldChar w:fldCharType="end"/>
          </w:r>
        </w:p>
        <w:p w14:paraId="02F30F1C">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"_Toc183083285" </w:instrText>
          </w:r>
          <w:r>
            <w:fldChar w:fldCharType="separate"/>
          </w:r>
          <w:r>
            <w:rPr>
              <w:rStyle w:val="20"/>
              <w:rFonts w:ascii="Times New Roman" w:hAnsi="Times New Roman" w:cs="Times New Roman"/>
              <w:color w:val="auto"/>
              <w:sz w:val="24"/>
            </w:rPr>
            <w:t>八、打造数字消费场景</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_Toc183083285 \h </w:instrText>
          </w:r>
          <w:r>
            <w:rPr>
              <w:rFonts w:ascii="Times New Roman" w:hAnsi="Times New Roman" w:cs="Times New Roman"/>
              <w:sz w:val="24"/>
            </w:rPr>
            <w:fldChar w:fldCharType="separate"/>
          </w:r>
          <w:r>
            <w:rPr>
              <w:rFonts w:ascii="Times New Roman" w:hAnsi="Times New Roman" w:cs="Times New Roman"/>
              <w:sz w:val="24"/>
            </w:rPr>
            <w:t>33</w:t>
          </w:r>
          <w:r>
            <w:rPr>
              <w:rFonts w:ascii="Times New Roman" w:hAnsi="Times New Roman" w:cs="Times New Roman"/>
              <w:sz w:val="24"/>
            </w:rPr>
            <w:fldChar w:fldCharType="end"/>
          </w:r>
          <w:r>
            <w:rPr>
              <w:rFonts w:ascii="Times New Roman" w:hAnsi="Times New Roman" w:cs="Times New Roman"/>
              <w:sz w:val="24"/>
            </w:rPr>
            <w:fldChar w:fldCharType="end"/>
          </w:r>
        </w:p>
        <w:p w14:paraId="73143BDA">
          <w:pPr>
            <w:pStyle w:val="10"/>
            <w:tabs>
              <w:tab w:val="right" w:leader="dot" w:pos="8296"/>
            </w:tabs>
            <w:spacing w:line="360" w:lineRule="auto"/>
            <w:rPr>
              <w:rFonts w:ascii="Times New Roman" w:hAnsi="Times New Roman" w:cs="Times New Roman"/>
              <w:sz w:val="24"/>
            </w:rPr>
          </w:pPr>
          <w:r>
            <w:fldChar w:fldCharType="begin"/>
          </w:r>
          <w:r>
            <w:instrText xml:space="preserve"> HYPERLINK \l "_Toc183083286" </w:instrText>
          </w:r>
          <w:r>
            <w:fldChar w:fldCharType="separate"/>
          </w:r>
          <w:r>
            <w:rPr>
              <w:rStyle w:val="20"/>
              <w:rFonts w:ascii="Times New Roman" w:hAnsi="Times New Roman" w:eastAsia="黑体" w:cs="Times New Roman"/>
              <w:color w:val="auto"/>
              <w:sz w:val="24"/>
              <w:lang w:bidi="ar"/>
            </w:rPr>
            <w:t>第五章 重点工程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_Toc183083286 \h </w:instrText>
          </w:r>
          <w:r>
            <w:rPr>
              <w:rFonts w:ascii="Times New Roman" w:hAnsi="Times New Roman" w:cs="Times New Roman"/>
              <w:sz w:val="24"/>
            </w:rPr>
            <w:fldChar w:fldCharType="separate"/>
          </w:r>
          <w:r>
            <w:rPr>
              <w:rFonts w:ascii="Times New Roman" w:hAnsi="Times New Roman" w:cs="Times New Roman"/>
              <w:sz w:val="24"/>
            </w:rPr>
            <w:t>35</w:t>
          </w:r>
          <w:r>
            <w:rPr>
              <w:rFonts w:ascii="Times New Roman" w:hAnsi="Times New Roman" w:cs="Times New Roman"/>
              <w:sz w:val="24"/>
            </w:rPr>
            <w:fldChar w:fldCharType="end"/>
          </w:r>
          <w:r>
            <w:rPr>
              <w:rFonts w:ascii="Times New Roman" w:hAnsi="Times New Roman" w:cs="Times New Roman"/>
              <w:sz w:val="24"/>
            </w:rPr>
            <w:fldChar w:fldCharType="end"/>
          </w:r>
        </w:p>
        <w:p w14:paraId="77C2352F">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"_Toc183083287" </w:instrText>
          </w:r>
          <w:r>
            <w:fldChar w:fldCharType="separate"/>
          </w:r>
          <w:r>
            <w:rPr>
              <w:rStyle w:val="20"/>
              <w:rFonts w:ascii="Times New Roman" w:hAnsi="Times New Roman" w:cs="Times New Roman"/>
              <w:color w:val="auto"/>
              <w:sz w:val="24"/>
            </w:rPr>
            <w:t>一、电商产业园区集聚工程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_Toc183083287 \h </w:instrText>
          </w:r>
          <w:r>
            <w:rPr>
              <w:rFonts w:ascii="Times New Roman" w:hAnsi="Times New Roman" w:cs="Times New Roman"/>
              <w:sz w:val="24"/>
            </w:rPr>
            <w:fldChar w:fldCharType="separate"/>
          </w:r>
          <w:r>
            <w:rPr>
              <w:rFonts w:ascii="Times New Roman" w:hAnsi="Times New Roman" w:cs="Times New Roman"/>
              <w:sz w:val="24"/>
            </w:rPr>
            <w:t>35</w:t>
          </w:r>
          <w:r>
            <w:rPr>
              <w:rFonts w:ascii="Times New Roman" w:hAnsi="Times New Roman" w:cs="Times New Roman"/>
              <w:sz w:val="24"/>
            </w:rPr>
            <w:fldChar w:fldCharType="end"/>
          </w:r>
          <w:r>
            <w:rPr>
              <w:rFonts w:ascii="Times New Roman" w:hAnsi="Times New Roman" w:cs="Times New Roman"/>
              <w:sz w:val="24"/>
            </w:rPr>
            <w:fldChar w:fldCharType="end"/>
          </w:r>
        </w:p>
        <w:p w14:paraId="1343E1C5">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"_Toc183083288" </w:instrText>
          </w:r>
          <w:r>
            <w:fldChar w:fldCharType="separate"/>
          </w:r>
          <w:r>
            <w:rPr>
              <w:rStyle w:val="20"/>
              <w:rFonts w:ascii="Times New Roman" w:hAnsi="Times New Roman" w:cs="Times New Roman"/>
              <w:color w:val="auto"/>
              <w:sz w:val="24"/>
            </w:rPr>
            <w:t>二、电子商务物流提升工程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_Toc183083288 \h </w:instrText>
          </w:r>
          <w:r>
            <w:rPr>
              <w:rFonts w:ascii="Times New Roman" w:hAnsi="Times New Roman" w:cs="Times New Roman"/>
              <w:sz w:val="24"/>
            </w:rPr>
            <w:fldChar w:fldCharType="separate"/>
          </w:r>
          <w:r>
            <w:rPr>
              <w:rFonts w:ascii="Times New Roman" w:hAnsi="Times New Roman" w:cs="Times New Roman"/>
              <w:sz w:val="24"/>
            </w:rPr>
            <w:t>36</w:t>
          </w:r>
          <w:r>
            <w:rPr>
              <w:rFonts w:ascii="Times New Roman" w:hAnsi="Times New Roman" w:cs="Times New Roman"/>
              <w:sz w:val="24"/>
            </w:rPr>
            <w:fldChar w:fldCharType="end"/>
          </w:r>
          <w:r>
            <w:rPr>
              <w:rFonts w:ascii="Times New Roman" w:hAnsi="Times New Roman" w:cs="Times New Roman"/>
              <w:sz w:val="24"/>
            </w:rPr>
            <w:fldChar w:fldCharType="end"/>
          </w:r>
        </w:p>
        <w:p w14:paraId="147D3A52">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"_Toc183083289" </w:instrText>
          </w:r>
          <w:r>
            <w:fldChar w:fldCharType="separate"/>
          </w:r>
          <w:r>
            <w:rPr>
              <w:rStyle w:val="20"/>
              <w:rFonts w:ascii="Times New Roman" w:hAnsi="Times New Roman" w:cs="Times New Roman"/>
              <w:color w:val="auto"/>
              <w:sz w:val="24"/>
            </w:rPr>
            <w:t>三、电子商务人才培育工程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_Toc183083289 \h </w:instrText>
          </w:r>
          <w:r>
            <w:rPr>
              <w:rFonts w:ascii="Times New Roman" w:hAnsi="Times New Roman" w:cs="Times New Roman"/>
              <w:sz w:val="24"/>
            </w:rPr>
            <w:fldChar w:fldCharType="separate"/>
          </w:r>
          <w:r>
            <w:rPr>
              <w:rFonts w:ascii="Times New Roman" w:hAnsi="Times New Roman" w:cs="Times New Roman"/>
              <w:sz w:val="24"/>
            </w:rPr>
            <w:t>37</w:t>
          </w:r>
          <w:r>
            <w:rPr>
              <w:rFonts w:ascii="Times New Roman" w:hAnsi="Times New Roman" w:cs="Times New Roman"/>
              <w:sz w:val="24"/>
            </w:rPr>
            <w:fldChar w:fldCharType="end"/>
          </w:r>
          <w:r>
            <w:rPr>
              <w:rFonts w:ascii="Times New Roman" w:hAnsi="Times New Roman" w:cs="Times New Roman"/>
              <w:sz w:val="24"/>
            </w:rPr>
            <w:fldChar w:fldCharType="end"/>
          </w:r>
        </w:p>
        <w:p w14:paraId="63803251">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"_Toc183083290" </w:instrText>
          </w:r>
          <w:r>
            <w:fldChar w:fldCharType="separate"/>
          </w:r>
          <w:r>
            <w:rPr>
              <w:rStyle w:val="20"/>
              <w:rFonts w:ascii="Times New Roman" w:hAnsi="Times New Roman" w:cs="Times New Roman"/>
              <w:color w:val="auto"/>
              <w:sz w:val="24"/>
            </w:rPr>
            <w:t>四、电商行业应用创新工程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_Toc183083290 \h </w:instrText>
          </w:r>
          <w:r>
            <w:rPr>
              <w:rFonts w:ascii="Times New Roman" w:hAnsi="Times New Roman" w:cs="Times New Roman"/>
              <w:sz w:val="24"/>
            </w:rPr>
            <w:fldChar w:fldCharType="separate"/>
          </w:r>
          <w:r>
            <w:rPr>
              <w:rFonts w:ascii="Times New Roman" w:hAnsi="Times New Roman" w:cs="Times New Roman"/>
              <w:sz w:val="24"/>
            </w:rPr>
            <w:t>38</w:t>
          </w:r>
          <w:r>
            <w:rPr>
              <w:rFonts w:ascii="Times New Roman" w:hAnsi="Times New Roman" w:cs="Times New Roman"/>
              <w:sz w:val="24"/>
            </w:rPr>
            <w:fldChar w:fldCharType="end"/>
          </w:r>
          <w:r>
            <w:rPr>
              <w:rFonts w:ascii="Times New Roman" w:hAnsi="Times New Roman" w:cs="Times New Roman"/>
              <w:sz w:val="24"/>
            </w:rPr>
            <w:fldChar w:fldCharType="end"/>
          </w:r>
        </w:p>
        <w:p w14:paraId="0170F938">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"_Toc183083291" </w:instrText>
          </w:r>
          <w:r>
            <w:fldChar w:fldCharType="separate"/>
          </w:r>
          <w:r>
            <w:rPr>
              <w:rStyle w:val="20"/>
              <w:rFonts w:ascii="Times New Roman" w:hAnsi="Times New Roman" w:cs="Times New Roman"/>
              <w:color w:val="auto"/>
              <w:sz w:val="24"/>
            </w:rPr>
            <w:t>五、电商产业带发展工程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_Toc183083291 \h </w:instrText>
          </w:r>
          <w:r>
            <w:rPr>
              <w:rFonts w:ascii="Times New Roman" w:hAnsi="Times New Roman" w:cs="Times New Roman"/>
              <w:sz w:val="24"/>
            </w:rPr>
            <w:fldChar w:fldCharType="separate"/>
          </w:r>
          <w:r>
            <w:rPr>
              <w:rFonts w:ascii="Times New Roman" w:hAnsi="Times New Roman" w:cs="Times New Roman"/>
              <w:sz w:val="24"/>
            </w:rPr>
            <w:t>43</w:t>
          </w:r>
          <w:r>
            <w:rPr>
              <w:rFonts w:ascii="Times New Roman" w:hAnsi="Times New Roman" w:cs="Times New Roman"/>
              <w:sz w:val="24"/>
            </w:rPr>
            <w:fldChar w:fldCharType="end"/>
          </w:r>
          <w:r>
            <w:rPr>
              <w:rFonts w:ascii="Times New Roman" w:hAnsi="Times New Roman" w:cs="Times New Roman"/>
              <w:sz w:val="24"/>
            </w:rPr>
            <w:fldChar w:fldCharType="end"/>
          </w:r>
        </w:p>
        <w:p w14:paraId="6BF2AE47">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"_Toc183083292" </w:instrText>
          </w:r>
          <w:r>
            <w:fldChar w:fldCharType="separate"/>
          </w:r>
          <w:r>
            <w:rPr>
              <w:rStyle w:val="20"/>
              <w:rFonts w:ascii="Times New Roman" w:hAnsi="Times New Roman" w:cs="Times New Roman"/>
              <w:color w:val="auto"/>
              <w:sz w:val="24"/>
            </w:rPr>
            <w:t>六、跨境电商强化发展工程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_Toc183083292 \h </w:instrText>
          </w:r>
          <w:r>
            <w:rPr>
              <w:rFonts w:ascii="Times New Roman" w:hAnsi="Times New Roman" w:cs="Times New Roman"/>
              <w:sz w:val="24"/>
            </w:rPr>
            <w:fldChar w:fldCharType="separate"/>
          </w:r>
          <w:r>
            <w:rPr>
              <w:rFonts w:ascii="Times New Roman" w:hAnsi="Times New Roman" w:cs="Times New Roman"/>
              <w:sz w:val="24"/>
            </w:rPr>
            <w:t>44</w:t>
          </w:r>
          <w:r>
            <w:rPr>
              <w:rFonts w:ascii="Times New Roman" w:hAnsi="Times New Roman" w:cs="Times New Roman"/>
              <w:sz w:val="24"/>
            </w:rPr>
            <w:fldChar w:fldCharType="end"/>
          </w:r>
          <w:r>
            <w:rPr>
              <w:rFonts w:ascii="Times New Roman" w:hAnsi="Times New Roman" w:cs="Times New Roman"/>
              <w:sz w:val="24"/>
            </w:rPr>
            <w:fldChar w:fldCharType="end"/>
          </w:r>
        </w:p>
        <w:p w14:paraId="5C62F7A8">
          <w:pPr>
            <w:pStyle w:val="10"/>
            <w:tabs>
              <w:tab w:val="right" w:leader="dot" w:pos="8296"/>
            </w:tabs>
            <w:spacing w:line="360" w:lineRule="auto"/>
            <w:rPr>
              <w:rFonts w:ascii="Times New Roman" w:hAnsi="Times New Roman" w:cs="Times New Roman"/>
              <w:sz w:val="24"/>
            </w:rPr>
          </w:pPr>
          <w:r>
            <w:fldChar w:fldCharType="begin"/>
          </w:r>
          <w:r>
            <w:instrText xml:space="preserve"> HYPERLINK \l "_Toc183083293" </w:instrText>
          </w:r>
          <w:r>
            <w:fldChar w:fldCharType="separate"/>
          </w:r>
          <w:r>
            <w:rPr>
              <w:rStyle w:val="20"/>
              <w:rFonts w:ascii="Times New Roman" w:hAnsi="Times New Roman" w:eastAsia="黑体" w:cs="Times New Roman"/>
              <w:color w:val="auto"/>
              <w:sz w:val="24"/>
              <w:lang w:bidi="ar"/>
            </w:rPr>
            <w:t>第六章 保障措施</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_Toc183083293 \h </w:instrText>
          </w:r>
          <w:r>
            <w:rPr>
              <w:rFonts w:ascii="Times New Roman" w:hAnsi="Times New Roman" w:cs="Times New Roman"/>
              <w:sz w:val="24"/>
            </w:rPr>
            <w:fldChar w:fldCharType="separate"/>
          </w:r>
          <w:r>
            <w:rPr>
              <w:rFonts w:ascii="Times New Roman" w:hAnsi="Times New Roman" w:cs="Times New Roman"/>
              <w:sz w:val="24"/>
            </w:rPr>
            <w:t>47</w:t>
          </w:r>
          <w:r>
            <w:rPr>
              <w:rFonts w:ascii="Times New Roman" w:hAnsi="Times New Roman" w:cs="Times New Roman"/>
              <w:sz w:val="24"/>
            </w:rPr>
            <w:fldChar w:fldCharType="end"/>
          </w:r>
          <w:r>
            <w:rPr>
              <w:rFonts w:ascii="Times New Roman" w:hAnsi="Times New Roman" w:cs="Times New Roman"/>
              <w:sz w:val="24"/>
            </w:rPr>
            <w:fldChar w:fldCharType="end"/>
          </w:r>
        </w:p>
        <w:p w14:paraId="6709E9C9">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"_Toc183083294" </w:instrText>
          </w:r>
          <w:r>
            <w:fldChar w:fldCharType="separate"/>
          </w:r>
          <w:r>
            <w:rPr>
              <w:rStyle w:val="20"/>
              <w:rFonts w:ascii="Times New Roman" w:hAnsi="Times New Roman" w:cs="Times New Roman"/>
              <w:color w:val="auto"/>
              <w:sz w:val="24"/>
            </w:rPr>
            <w:t>一、组织保障</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_Toc183083294 \h </w:instrText>
          </w:r>
          <w:r>
            <w:rPr>
              <w:rFonts w:ascii="Times New Roman" w:hAnsi="Times New Roman" w:cs="Times New Roman"/>
              <w:sz w:val="24"/>
            </w:rPr>
            <w:fldChar w:fldCharType="separate"/>
          </w:r>
          <w:r>
            <w:rPr>
              <w:rFonts w:ascii="Times New Roman" w:hAnsi="Times New Roman" w:cs="Times New Roman"/>
              <w:sz w:val="24"/>
            </w:rPr>
            <w:t>47</w:t>
          </w:r>
          <w:r>
            <w:rPr>
              <w:rFonts w:ascii="Times New Roman" w:hAnsi="Times New Roman" w:cs="Times New Roman"/>
              <w:sz w:val="24"/>
            </w:rPr>
            <w:fldChar w:fldCharType="end"/>
          </w:r>
          <w:r>
            <w:rPr>
              <w:rFonts w:ascii="Times New Roman" w:hAnsi="Times New Roman" w:cs="Times New Roman"/>
              <w:sz w:val="24"/>
            </w:rPr>
            <w:fldChar w:fldCharType="end"/>
          </w:r>
        </w:p>
        <w:p w14:paraId="50BE6FB2">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"_Toc183083295" </w:instrText>
          </w:r>
          <w:r>
            <w:fldChar w:fldCharType="separate"/>
          </w:r>
          <w:r>
            <w:rPr>
              <w:rStyle w:val="20"/>
              <w:rFonts w:ascii="Times New Roman" w:hAnsi="Times New Roman" w:cs="Times New Roman"/>
              <w:color w:val="auto"/>
              <w:sz w:val="24"/>
            </w:rPr>
            <w:t>二、政策保障</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_Toc183083295 \h </w:instrText>
          </w:r>
          <w:r>
            <w:rPr>
              <w:rFonts w:ascii="Times New Roman" w:hAnsi="Times New Roman" w:cs="Times New Roman"/>
              <w:sz w:val="24"/>
            </w:rPr>
            <w:fldChar w:fldCharType="separate"/>
          </w:r>
          <w:r>
            <w:rPr>
              <w:rFonts w:ascii="Times New Roman" w:hAnsi="Times New Roman" w:cs="Times New Roman"/>
              <w:sz w:val="24"/>
            </w:rPr>
            <w:t>47</w:t>
          </w:r>
          <w:r>
            <w:rPr>
              <w:rFonts w:ascii="Times New Roman" w:hAnsi="Times New Roman" w:cs="Times New Roman"/>
              <w:sz w:val="24"/>
            </w:rPr>
            <w:fldChar w:fldCharType="end"/>
          </w:r>
          <w:r>
            <w:rPr>
              <w:rFonts w:ascii="Times New Roman" w:hAnsi="Times New Roman" w:cs="Times New Roman"/>
              <w:sz w:val="24"/>
            </w:rPr>
            <w:fldChar w:fldCharType="end"/>
          </w:r>
        </w:p>
        <w:p w14:paraId="5935CE2A">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"_Toc183083296" </w:instrText>
          </w:r>
          <w:r>
            <w:fldChar w:fldCharType="separate"/>
          </w:r>
          <w:r>
            <w:rPr>
              <w:rStyle w:val="20"/>
              <w:rFonts w:ascii="Times New Roman" w:hAnsi="Times New Roman" w:cs="Times New Roman"/>
              <w:color w:val="auto"/>
              <w:sz w:val="24"/>
            </w:rPr>
            <w:t>三、资金保障</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_Toc183083296 \h </w:instrText>
          </w:r>
          <w:r>
            <w:rPr>
              <w:rFonts w:ascii="Times New Roman" w:hAnsi="Times New Roman" w:cs="Times New Roman"/>
              <w:sz w:val="24"/>
            </w:rPr>
            <w:fldChar w:fldCharType="separate"/>
          </w:r>
          <w:r>
            <w:rPr>
              <w:rFonts w:ascii="Times New Roman" w:hAnsi="Times New Roman" w:cs="Times New Roman"/>
              <w:sz w:val="24"/>
            </w:rPr>
            <w:t>47</w:t>
          </w:r>
          <w:r>
            <w:rPr>
              <w:rFonts w:ascii="Times New Roman" w:hAnsi="Times New Roman" w:cs="Times New Roman"/>
              <w:sz w:val="24"/>
            </w:rPr>
            <w:fldChar w:fldCharType="end"/>
          </w:r>
          <w:r>
            <w:rPr>
              <w:rFonts w:ascii="Times New Roman" w:hAnsi="Times New Roman" w:cs="Times New Roman"/>
              <w:sz w:val="24"/>
            </w:rPr>
            <w:fldChar w:fldCharType="end"/>
          </w:r>
        </w:p>
        <w:p w14:paraId="5172CBFF">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"_Toc183083297" </w:instrText>
          </w:r>
          <w:r>
            <w:fldChar w:fldCharType="separate"/>
          </w:r>
          <w:r>
            <w:rPr>
              <w:rStyle w:val="20"/>
              <w:rFonts w:ascii="Times New Roman" w:hAnsi="Times New Roman" w:cs="Times New Roman"/>
              <w:color w:val="auto"/>
              <w:sz w:val="24"/>
            </w:rPr>
            <w:t>四、人才保障</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_Toc183083297 \h </w:instrText>
          </w:r>
          <w:r>
            <w:rPr>
              <w:rFonts w:ascii="Times New Roman" w:hAnsi="Times New Roman" w:cs="Times New Roman"/>
              <w:sz w:val="24"/>
            </w:rPr>
            <w:fldChar w:fldCharType="separate"/>
          </w:r>
          <w:r>
            <w:rPr>
              <w:rFonts w:ascii="Times New Roman" w:hAnsi="Times New Roman" w:cs="Times New Roman"/>
              <w:sz w:val="24"/>
            </w:rPr>
            <w:t>48</w:t>
          </w:r>
          <w:r>
            <w:rPr>
              <w:rFonts w:ascii="Times New Roman" w:hAnsi="Times New Roman" w:cs="Times New Roman"/>
              <w:sz w:val="24"/>
            </w:rPr>
            <w:fldChar w:fldCharType="end"/>
          </w:r>
          <w:r>
            <w:rPr>
              <w:rFonts w:ascii="Times New Roman" w:hAnsi="Times New Roman" w:cs="Times New Roman"/>
              <w:sz w:val="24"/>
            </w:rPr>
            <w:fldChar w:fldCharType="end"/>
          </w:r>
        </w:p>
        <w:p w14:paraId="1028CE3E">
          <w:pPr>
            <w:pStyle w:val="11"/>
            <w:tabs>
              <w:tab w:val="right" w:leader="dot" w:pos="8296"/>
            </w:tabs>
            <w:spacing w:line="360" w:lineRule="auto"/>
            <w:rPr>
              <w:rFonts w:ascii="Times New Roman" w:hAnsi="Times New Roman" w:cs="Times New Roman"/>
              <w:sz w:val="24"/>
            </w:rPr>
          </w:pPr>
          <w:r>
            <w:fldChar w:fldCharType="begin"/>
          </w:r>
          <w:r>
            <w:instrText xml:space="preserve"> HYPERLINK \l "_Toc183083298" </w:instrText>
          </w:r>
          <w:r>
            <w:fldChar w:fldCharType="separate"/>
          </w:r>
          <w:r>
            <w:rPr>
              <w:rStyle w:val="20"/>
              <w:rFonts w:ascii="Times New Roman" w:hAnsi="Times New Roman" w:cs="Times New Roman"/>
              <w:color w:val="auto"/>
              <w:sz w:val="24"/>
            </w:rPr>
            <w:t>五、监管保障</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_Toc183083298 \h </w:instrText>
          </w:r>
          <w:r>
            <w:rPr>
              <w:rFonts w:ascii="Times New Roman" w:hAnsi="Times New Roman" w:cs="Times New Roman"/>
              <w:sz w:val="24"/>
            </w:rPr>
            <w:fldChar w:fldCharType="separate"/>
          </w:r>
          <w:r>
            <w:rPr>
              <w:rFonts w:ascii="Times New Roman" w:hAnsi="Times New Roman" w:cs="Times New Roman"/>
              <w:sz w:val="24"/>
            </w:rPr>
            <w:t>48</w:t>
          </w:r>
          <w:r>
            <w:rPr>
              <w:rFonts w:ascii="Times New Roman" w:hAnsi="Times New Roman" w:cs="Times New Roman"/>
              <w:sz w:val="24"/>
            </w:rPr>
            <w:fldChar w:fldCharType="end"/>
          </w:r>
          <w:r>
            <w:rPr>
              <w:rFonts w:ascii="Times New Roman" w:hAnsi="Times New Roman" w:cs="Times New Roman"/>
              <w:sz w:val="24"/>
            </w:rPr>
            <w:fldChar w:fldCharType="end"/>
          </w:r>
        </w:p>
        <w:p w14:paraId="4DC0A879">
          <w:pPr>
            <w:pStyle w:val="10"/>
            <w:tabs>
              <w:tab w:val="right" w:leader="dot" w:pos="8296"/>
            </w:tabs>
            <w:spacing w:line="360" w:lineRule="auto"/>
            <w:rPr>
              <w:rFonts w:ascii="Times New Roman" w:hAnsi="Times New Roman" w:cs="Times New Roman"/>
              <w:sz w:val="24"/>
            </w:rPr>
          </w:pPr>
          <w:r>
            <w:fldChar w:fldCharType="begin"/>
          </w:r>
          <w:r>
            <w:instrText xml:space="preserve"> HYPERLINK \l "_Toc183083299" </w:instrText>
          </w:r>
          <w:r>
            <w:fldChar w:fldCharType="separate"/>
          </w:r>
          <w:r>
            <w:rPr>
              <w:rStyle w:val="20"/>
              <w:rFonts w:ascii="Times New Roman" w:hAnsi="Times New Roman" w:eastAsia="黑体" w:cs="Times New Roman"/>
              <w:color w:val="auto"/>
              <w:sz w:val="24"/>
              <w:lang w:bidi="ar"/>
            </w:rPr>
            <w:t>附件1：郧阳区电子商务各部门职责分工</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_Toc183083299 \h </w:instrText>
          </w:r>
          <w:r>
            <w:rPr>
              <w:rFonts w:ascii="Times New Roman" w:hAnsi="Times New Roman" w:cs="Times New Roman"/>
              <w:sz w:val="24"/>
            </w:rPr>
            <w:fldChar w:fldCharType="separate"/>
          </w:r>
          <w:r>
            <w:rPr>
              <w:rFonts w:ascii="Times New Roman" w:hAnsi="Times New Roman" w:cs="Times New Roman"/>
              <w:sz w:val="24"/>
            </w:rPr>
            <w:t>49</w:t>
          </w:r>
          <w:r>
            <w:rPr>
              <w:rFonts w:ascii="Times New Roman" w:hAnsi="Times New Roman" w:cs="Times New Roman"/>
              <w:sz w:val="24"/>
            </w:rPr>
            <w:fldChar w:fldCharType="end"/>
          </w:r>
          <w:r>
            <w:rPr>
              <w:rFonts w:ascii="Times New Roman" w:hAnsi="Times New Roman" w:cs="Times New Roman"/>
              <w:sz w:val="24"/>
            </w:rPr>
            <w:fldChar w:fldCharType="end"/>
          </w:r>
        </w:p>
        <w:p w14:paraId="37A3498F">
          <w:pPr>
            <w:pStyle w:val="10"/>
            <w:tabs>
              <w:tab w:val="right" w:leader="dot" w:pos="8296"/>
            </w:tabs>
            <w:spacing w:line="360" w:lineRule="auto"/>
            <w:rPr>
              <w:rFonts w:ascii="Times New Roman" w:hAnsi="Times New Roman" w:cs="Times New Roman"/>
              <w:sz w:val="24"/>
            </w:rPr>
          </w:pPr>
          <w:r>
            <w:fldChar w:fldCharType="begin"/>
          </w:r>
          <w:r>
            <w:instrText xml:space="preserve"> HYPERLINK \l "_Toc183083300" </w:instrText>
          </w:r>
          <w:r>
            <w:fldChar w:fldCharType="separate"/>
          </w:r>
          <w:r>
            <w:rPr>
              <w:rStyle w:val="20"/>
              <w:rFonts w:ascii="Times New Roman" w:hAnsi="Times New Roman" w:eastAsia="黑体" w:cs="Times New Roman"/>
              <w:color w:val="auto"/>
              <w:sz w:val="24"/>
              <w:lang w:bidi="ar"/>
            </w:rPr>
            <w:t>附件2：郧阳区电子商务发展规划依据</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_Toc183083300 \h </w:instrText>
          </w:r>
          <w:r>
            <w:rPr>
              <w:rFonts w:ascii="Times New Roman" w:hAnsi="Times New Roman" w:cs="Times New Roman"/>
              <w:sz w:val="24"/>
            </w:rPr>
            <w:fldChar w:fldCharType="separate"/>
          </w:r>
          <w:r>
            <w:rPr>
              <w:rFonts w:ascii="Times New Roman" w:hAnsi="Times New Roman" w:cs="Times New Roman"/>
              <w:sz w:val="24"/>
            </w:rPr>
            <w:t>51</w:t>
          </w:r>
          <w:r>
            <w:rPr>
              <w:rFonts w:ascii="Times New Roman" w:hAnsi="Times New Roman" w:cs="Times New Roman"/>
              <w:sz w:val="24"/>
            </w:rPr>
            <w:fldChar w:fldCharType="end"/>
          </w:r>
          <w:r>
            <w:rPr>
              <w:rFonts w:ascii="Times New Roman" w:hAnsi="Times New Roman" w:cs="Times New Roman"/>
              <w:sz w:val="24"/>
            </w:rPr>
            <w:fldChar w:fldCharType="end"/>
          </w:r>
        </w:p>
        <w:p w14:paraId="3DFFD1AB">
          <w:pPr>
            <w:pStyle w:val="6"/>
            <w:autoSpaceDE w:val="0"/>
            <w:autoSpaceDN w:val="0"/>
            <w:spacing w:before="5" w:line="360" w:lineRule="auto"/>
            <w:ind w:left="0" w:right="277"/>
            <w:rPr>
              <w:rFonts w:ascii="微软雅黑" w:eastAsia="微软雅黑"/>
              <w:kern w:val="0"/>
            </w:rPr>
          </w:pPr>
          <w:r>
            <w:rPr>
              <w:rFonts w:ascii="Times New Roman" w:hAnsi="Times New Roman" w:cs="Times New Roman"/>
              <w:kern w:val="0"/>
              <w:sz w:val="24"/>
              <w:szCs w:val="24"/>
            </w:rPr>
            <w:fldChar w:fldCharType="end"/>
          </w:r>
        </w:p>
      </w:sdtContent>
    </w:sdt>
    <w:p w14:paraId="4100CC7A">
      <w:pPr>
        <w:pStyle w:val="6"/>
        <w:autoSpaceDE w:val="0"/>
        <w:autoSpaceDN w:val="0"/>
        <w:spacing w:before="5"/>
        <w:ind w:left="219" w:right="277"/>
        <w:jc w:val="center"/>
        <w:rPr>
          <w:rFonts w:ascii="微软雅黑" w:eastAsia="微软雅黑"/>
          <w:kern w:val="0"/>
        </w:rPr>
      </w:pPr>
    </w:p>
    <w:p w14:paraId="06B2DD9E">
      <w:pPr>
        <w:pStyle w:val="6"/>
        <w:autoSpaceDE w:val="0"/>
        <w:autoSpaceDN w:val="0"/>
        <w:spacing w:before="5"/>
        <w:ind w:left="0" w:right="277"/>
        <w:outlineLvl w:val="0"/>
        <w:rPr>
          <w:rFonts w:ascii="微软雅黑" w:eastAsia="微软雅黑"/>
          <w:kern w:val="0"/>
        </w:rPr>
        <w:sectPr>
          <w:pgSz w:w="11906" w:h="16838"/>
          <w:pgMar w:top="1440" w:right="1800" w:bottom="1440" w:left="1800" w:header="851" w:footer="992" w:gutter="0"/>
          <w:cols w:space="425" w:num="1"/>
          <w:docGrid w:type="lines" w:linePitch="312" w:charSpace="0"/>
        </w:sectPr>
      </w:pPr>
    </w:p>
    <w:p w14:paraId="3DBE13C4">
      <w:pPr>
        <w:widowControl/>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“十四五”时期是我国在全面建成小康社会、实现第一个百年奋斗目标之后，乘势而上开启全面建设社会主义现代化国家新征程、向第二个百年奋斗目标进军的第一个五年，</w:t>
      </w:r>
      <w:r>
        <w:rPr>
          <w:rFonts w:ascii="宋体" w:hAnsi="宋体" w:eastAsia="宋体" w:cs="宋体"/>
          <w:kern w:val="0"/>
          <w:sz w:val="24"/>
        </w:rPr>
        <w:t>也是</w:t>
      </w:r>
      <w:r>
        <w:rPr>
          <w:rFonts w:hint="eastAsia" w:ascii="宋体" w:hAnsi="宋体" w:eastAsia="宋体" w:cs="宋体"/>
          <w:color w:val="000000" w:themeColor="text1"/>
          <w:kern w:val="0"/>
          <w:sz w:val="24"/>
          <w:lang w:val="en-US" w:eastAsia="zh-CN"/>
          <w14:textFill>
            <w14:solidFill>
              <w14:schemeClr w14:val="tx1"/>
            </w14:solidFill>
          </w14:textFill>
        </w:rPr>
        <w:t>郧阳区锚定</w:t>
      </w:r>
      <w:r>
        <w:rPr>
          <w:rFonts w:cs="Segoe UI" w:asciiTheme="minorEastAsia" w:hAnsiTheme="minorEastAsia"/>
          <w:color w:val="000000" w:themeColor="text1"/>
          <w:kern w:val="0"/>
          <w:sz w:val="24"/>
          <w14:textFill>
            <w14:solidFill>
              <w14:schemeClr w14:val="tx1"/>
            </w14:solidFill>
          </w14:textFill>
        </w:rPr>
        <w:t>“守好核心水源地、建设绿色低碳城”</w:t>
      </w:r>
      <w:r>
        <w:rPr>
          <w:rFonts w:ascii="Segoe UI" w:hAnsi="Segoe UI" w:eastAsia="宋体" w:cs="Segoe UI"/>
          <w:color w:val="000000" w:themeColor="text1"/>
          <w:kern w:val="0"/>
          <w:sz w:val="24"/>
          <w14:textFill>
            <w14:solidFill>
              <w14:schemeClr w14:val="tx1"/>
            </w14:solidFill>
          </w14:textFill>
        </w:rPr>
        <w:t>发展</w:t>
      </w:r>
      <w:r>
        <w:rPr>
          <w:rFonts w:hint="eastAsia" w:ascii="Segoe UI" w:hAnsi="Segoe UI" w:eastAsia="宋体" w:cs="Segoe UI"/>
          <w:color w:val="000000" w:themeColor="text1"/>
          <w:kern w:val="0"/>
          <w:sz w:val="24"/>
          <w:lang w:val="en-US" w:eastAsia="zh-CN"/>
          <w14:textFill>
            <w14:solidFill>
              <w14:schemeClr w14:val="tx1"/>
            </w14:solidFill>
          </w14:textFill>
        </w:rPr>
        <w:t>定位、</w:t>
      </w:r>
      <w:r>
        <w:rPr>
          <w:rFonts w:ascii="宋体" w:hAnsi="宋体" w:eastAsia="宋体" w:cs="宋体"/>
          <w:kern w:val="0"/>
          <w:sz w:val="24"/>
        </w:rPr>
        <w:t>着力把郧阳</w:t>
      </w:r>
      <w:r>
        <w:rPr>
          <w:rFonts w:hint="eastAsia" w:ascii="宋体" w:hAnsi="宋体" w:eastAsia="宋体" w:cs="宋体"/>
          <w:kern w:val="0"/>
          <w:sz w:val="24"/>
          <w:lang w:val="en-US" w:eastAsia="zh-CN"/>
        </w:rPr>
        <w:t>区</w:t>
      </w:r>
      <w:r>
        <w:rPr>
          <w:rFonts w:ascii="宋体" w:hAnsi="宋体" w:eastAsia="宋体" w:cs="宋体"/>
          <w:kern w:val="0"/>
          <w:sz w:val="24"/>
        </w:rPr>
        <w:t>建成十堰“现代新车城、绿色生态市”的重要增长极</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奋力实现</w:t>
      </w:r>
      <w:r>
        <w:rPr>
          <w:rFonts w:ascii="宋体" w:hAnsi="宋体" w:eastAsia="宋体" w:cs="宋体"/>
          <w:kern w:val="0"/>
          <w:sz w:val="24"/>
        </w:rPr>
        <w:t>县域经济和全面绿色转型发展上走在全省同类地区前列</w:t>
      </w:r>
      <w:r>
        <w:rPr>
          <w:rFonts w:hint="eastAsia" w:ascii="宋体" w:hAnsi="宋体" w:eastAsia="宋体" w:cs="宋体"/>
          <w:color w:val="000000" w:themeColor="text1"/>
          <w:kern w:val="0"/>
          <w:sz w:val="24"/>
          <w:lang w:val="en-US" w:eastAsia="zh-CN"/>
          <w14:textFill>
            <w14:solidFill>
              <w14:schemeClr w14:val="tx1"/>
            </w14:solidFill>
          </w14:textFill>
        </w:rPr>
        <w:t>目标</w:t>
      </w:r>
      <w:r>
        <w:rPr>
          <w:rFonts w:hint="eastAsia" w:ascii="宋体" w:hAnsi="宋体" w:eastAsia="宋体" w:cs="宋体"/>
          <w:color w:val="000000" w:themeColor="text1"/>
          <w:kern w:val="0"/>
          <w:sz w:val="24"/>
          <w14:textFill>
            <w14:solidFill>
              <w14:schemeClr w14:val="tx1"/>
            </w14:solidFill>
          </w14:textFill>
        </w:rPr>
        <w:t>、</w:t>
      </w:r>
      <w:r>
        <w:rPr>
          <w:rFonts w:cs="Segoe UI" w:asciiTheme="minorEastAsia" w:hAnsiTheme="minorEastAsia"/>
          <w:kern w:val="0"/>
          <w:sz w:val="24"/>
        </w:rPr>
        <w:t>开创高质量发展和高水平保护新局面</w:t>
      </w:r>
      <w:r>
        <w:rPr>
          <w:rFonts w:ascii="宋体" w:hAnsi="宋体" w:eastAsia="宋体" w:cs="宋体"/>
          <w:kern w:val="0"/>
          <w:sz w:val="24"/>
        </w:rPr>
        <w:t>的关键时期</w:t>
      </w:r>
      <w:r>
        <w:rPr>
          <w:rFonts w:hint="eastAsia" w:ascii="宋体" w:hAnsi="宋体" w:eastAsia="宋体" w:cs="宋体"/>
          <w:kern w:val="0"/>
          <w:sz w:val="24"/>
        </w:rPr>
        <w:t>。</w:t>
      </w:r>
      <w:r>
        <w:rPr>
          <w:rFonts w:hint="eastAsia" w:ascii="宋体" w:hAnsi="宋体" w:eastAsia="宋体" w:cs="宋体"/>
          <w:color w:val="000000" w:themeColor="text1"/>
          <w:kern w:val="0"/>
          <w:sz w:val="24"/>
          <w:lang w:val="en-US" w:eastAsia="zh-CN"/>
          <w14:textFill>
            <w14:solidFill>
              <w14:schemeClr w14:val="tx1"/>
            </w14:solidFill>
          </w14:textFill>
        </w:rPr>
        <w:t>为了适应新形势、新任务、新要求</w:t>
      </w:r>
      <w:r>
        <w:rPr>
          <w:rFonts w:hint="eastAsia" w:ascii="宋体" w:hAnsi="宋体" w:eastAsia="宋体" w:cs="宋体"/>
          <w:kern w:val="0"/>
          <w:sz w:val="24"/>
          <w:lang w:val="en-US" w:eastAsia="zh-CN"/>
        </w:rPr>
        <w:t>，</w:t>
      </w:r>
      <w:r>
        <w:rPr>
          <w:rFonts w:hint="eastAsia" w:ascii="宋体" w:hAnsi="宋体" w:eastAsia="宋体" w:cs="宋体"/>
          <w:kern w:val="0"/>
          <w:sz w:val="24"/>
        </w:rPr>
        <w:t>加快推进郧阳区电子商务创新与发展引领，拉动传统产业转型，</w:t>
      </w:r>
      <w:r>
        <w:rPr>
          <w:rFonts w:hint="eastAsia" w:ascii="宋体" w:hAnsi="宋体" w:eastAsia="宋体" w:cs="宋体"/>
          <w:kern w:val="0"/>
          <w:sz w:val="24"/>
          <w:lang w:val="en-US" w:eastAsia="zh-CN"/>
        </w:rPr>
        <w:t>促进</w:t>
      </w:r>
      <w:r>
        <w:rPr>
          <w:rFonts w:hint="eastAsia" w:ascii="宋体" w:hAnsi="宋体" w:eastAsia="宋体" w:cs="宋体"/>
          <w:kern w:val="0"/>
          <w:sz w:val="24"/>
        </w:rPr>
        <w:t>地方经济</w:t>
      </w:r>
      <w:r>
        <w:rPr>
          <w:rFonts w:hint="eastAsia" w:ascii="宋体" w:hAnsi="宋体" w:eastAsia="宋体" w:cs="宋体"/>
          <w:kern w:val="0"/>
          <w:sz w:val="24"/>
          <w:lang w:val="en-US" w:eastAsia="zh-CN"/>
        </w:rPr>
        <w:t>大发展</w:t>
      </w:r>
      <w:r>
        <w:rPr>
          <w:rFonts w:hint="eastAsia" w:ascii="宋体" w:hAnsi="宋体" w:eastAsia="宋体" w:cs="宋体"/>
          <w:kern w:val="0"/>
          <w:sz w:val="24"/>
        </w:rPr>
        <w:t>，根据</w:t>
      </w:r>
      <w:r>
        <w:rPr>
          <w:rFonts w:cs="Segoe UI" w:asciiTheme="minorEastAsia" w:hAnsiTheme="minorEastAsia"/>
          <w:kern w:val="0"/>
          <w:sz w:val="24"/>
        </w:rPr>
        <w:t>国家《“十四五”电子商务发展规划》</w:t>
      </w:r>
      <w:r>
        <w:rPr>
          <w:rFonts w:hint="eastAsia" w:ascii="宋体" w:hAnsi="宋体" w:eastAsia="宋体" w:cs="宋体"/>
          <w:kern w:val="0"/>
          <w:sz w:val="24"/>
        </w:rPr>
        <w:t>《商务部等9部门关于推动农村电商高质量发展的实施意见》（商流通函〔2024〕39号）《</w:t>
      </w:r>
      <w:r>
        <w:rPr>
          <w:rFonts w:ascii="宋体" w:hAnsi="宋体" w:eastAsia="宋体" w:cs="宋体"/>
          <w:kern w:val="0"/>
          <w:sz w:val="24"/>
        </w:rPr>
        <w:t>十堰市郧阳区国民经济和社会发展第十四个五年规划和二〇三五年远景目标纲要</w:t>
      </w:r>
      <w:r>
        <w:rPr>
          <w:rFonts w:hint="eastAsia" w:ascii="宋体" w:hAnsi="宋体" w:eastAsia="宋体" w:cs="宋体"/>
          <w:kern w:val="0"/>
          <w:sz w:val="24"/>
        </w:rPr>
        <w:t>》等文件精神，</w:t>
      </w:r>
      <w:r>
        <w:rPr>
          <w:rFonts w:hint="eastAsia" w:ascii="宋体" w:hAnsi="宋体" w:eastAsia="宋体" w:cs="宋体"/>
          <w:kern w:val="0"/>
          <w:sz w:val="24"/>
          <w:lang w:val="en-US" w:eastAsia="zh-CN"/>
        </w:rPr>
        <w:t>本着</w:t>
      </w:r>
      <w:r>
        <w:rPr>
          <w:rFonts w:hint="eastAsia" w:ascii="宋体" w:hAnsi="宋体" w:eastAsia="宋体" w:cs="宋体"/>
          <w:kern w:val="0"/>
          <w:sz w:val="24"/>
        </w:rPr>
        <w:t>“</w:t>
      </w:r>
      <w:r>
        <w:rPr>
          <w:rFonts w:ascii="宋体" w:hAnsi="宋体" w:eastAsia="宋体" w:cs="宋体"/>
          <w:kern w:val="0"/>
          <w:sz w:val="24"/>
        </w:rPr>
        <w:t>十四五</w:t>
      </w:r>
      <w:r>
        <w:rPr>
          <w:rFonts w:hint="eastAsia" w:ascii="宋体" w:hAnsi="宋体" w:eastAsia="宋体" w:cs="宋体"/>
          <w:kern w:val="0"/>
          <w:sz w:val="24"/>
        </w:rPr>
        <w:t>”</w:t>
      </w:r>
      <w:r>
        <w:rPr>
          <w:rFonts w:ascii="宋体" w:hAnsi="宋体" w:eastAsia="宋体" w:cs="宋体"/>
          <w:kern w:val="0"/>
          <w:sz w:val="24"/>
        </w:rPr>
        <w:t>既定目标的巩固提升与</w:t>
      </w:r>
      <w:r>
        <w:rPr>
          <w:rFonts w:hint="eastAsia" w:ascii="宋体" w:hAnsi="宋体" w:eastAsia="宋体" w:cs="宋体"/>
          <w:kern w:val="0"/>
          <w:sz w:val="24"/>
        </w:rPr>
        <w:t>“</w:t>
      </w:r>
      <w:r>
        <w:rPr>
          <w:rFonts w:ascii="宋体" w:hAnsi="宋体" w:eastAsia="宋体" w:cs="宋体"/>
          <w:kern w:val="0"/>
          <w:sz w:val="24"/>
        </w:rPr>
        <w:t>十五五</w:t>
      </w:r>
      <w:r>
        <w:rPr>
          <w:rFonts w:hint="eastAsia" w:ascii="宋体" w:hAnsi="宋体" w:eastAsia="宋体" w:cs="宋体"/>
          <w:kern w:val="0"/>
          <w:sz w:val="24"/>
        </w:rPr>
        <w:t>”</w:t>
      </w:r>
      <w:r>
        <w:rPr>
          <w:rFonts w:ascii="宋体" w:hAnsi="宋体" w:eastAsia="宋体" w:cs="宋体"/>
          <w:kern w:val="0"/>
          <w:sz w:val="24"/>
        </w:rPr>
        <w:t>前瞻性目标的初步布局相结合，面向</w:t>
      </w:r>
      <w:r>
        <w:rPr>
          <w:rFonts w:hint="eastAsia" w:ascii="宋体" w:hAnsi="宋体" w:eastAsia="宋体" w:cs="宋体"/>
          <w:kern w:val="0"/>
          <w:sz w:val="24"/>
        </w:rPr>
        <w:t>郧阳区</w:t>
      </w:r>
      <w:r>
        <w:rPr>
          <w:rFonts w:ascii="宋体" w:hAnsi="宋体" w:eastAsia="宋体" w:cs="宋体"/>
          <w:kern w:val="0"/>
          <w:sz w:val="24"/>
        </w:rPr>
        <w:t>电子商务发展的新格局、新环境、新问题、新要求，</w:t>
      </w:r>
      <w:r>
        <w:rPr>
          <w:rFonts w:hint="eastAsia" w:ascii="宋体" w:hAnsi="宋体" w:eastAsia="宋体" w:cs="宋体"/>
          <w:kern w:val="0"/>
          <w:sz w:val="24"/>
        </w:rPr>
        <w:t>特编制《郧阳区</w:t>
      </w:r>
      <w:r>
        <w:rPr>
          <w:rFonts w:ascii="宋体" w:hAnsi="宋体" w:eastAsia="宋体" w:cs="宋体"/>
          <w:kern w:val="0"/>
          <w:sz w:val="24"/>
        </w:rPr>
        <w:t>电子商务发展</w:t>
      </w:r>
      <w:r>
        <w:rPr>
          <w:rFonts w:hint="eastAsia" w:ascii="宋体" w:hAnsi="宋体" w:eastAsia="宋体" w:cs="宋体"/>
          <w:kern w:val="0"/>
          <w:sz w:val="24"/>
        </w:rPr>
        <w:t>规划（2</w:t>
      </w:r>
      <w:r>
        <w:rPr>
          <w:rFonts w:ascii="宋体" w:hAnsi="宋体" w:eastAsia="宋体" w:cs="宋体"/>
          <w:kern w:val="0"/>
          <w:sz w:val="24"/>
        </w:rPr>
        <w:t>025-2027</w:t>
      </w:r>
      <w:r>
        <w:rPr>
          <w:rFonts w:hint="eastAsia" w:ascii="宋体" w:hAnsi="宋体" w:eastAsia="宋体" w:cs="宋体"/>
          <w:kern w:val="0"/>
          <w:sz w:val="24"/>
        </w:rPr>
        <w:t>）》，</w:t>
      </w:r>
      <w:r>
        <w:rPr>
          <w:rFonts w:ascii="宋体" w:hAnsi="宋体" w:eastAsia="宋体" w:cs="宋体"/>
          <w:kern w:val="0"/>
          <w:sz w:val="24"/>
        </w:rPr>
        <w:t>为</w:t>
      </w:r>
      <w:r>
        <w:rPr>
          <w:rFonts w:hint="eastAsia" w:ascii="宋体" w:hAnsi="宋体" w:eastAsia="宋体" w:cs="宋体"/>
          <w:kern w:val="0"/>
          <w:sz w:val="24"/>
        </w:rPr>
        <w:t>郧阳区电子商务</w:t>
      </w:r>
      <w:r>
        <w:rPr>
          <w:rFonts w:ascii="宋体" w:hAnsi="宋体" w:eastAsia="宋体" w:cs="宋体"/>
          <w:kern w:val="0"/>
          <w:sz w:val="24"/>
        </w:rPr>
        <w:t>长期</w:t>
      </w:r>
      <w:r>
        <w:rPr>
          <w:rFonts w:hint="eastAsia" w:ascii="宋体" w:hAnsi="宋体" w:eastAsia="宋体" w:cs="宋体"/>
          <w:kern w:val="0"/>
          <w:sz w:val="24"/>
        </w:rPr>
        <w:t>高质量</w:t>
      </w:r>
      <w:r>
        <w:rPr>
          <w:rFonts w:ascii="宋体" w:hAnsi="宋体" w:eastAsia="宋体" w:cs="宋体"/>
          <w:kern w:val="0"/>
          <w:sz w:val="24"/>
        </w:rPr>
        <w:t>发展筑牢根基。</w:t>
      </w:r>
    </w:p>
    <w:p w14:paraId="4CADF6F6">
      <w:pPr>
        <w:widowControl/>
        <w:spacing w:line="360" w:lineRule="auto"/>
        <w:ind w:firstLine="480" w:firstLineChars="200"/>
        <w:rPr>
          <w:rFonts w:ascii="宋体" w:hAnsi="宋体" w:eastAsia="宋体" w:cs="仿宋"/>
          <w:kern w:val="0"/>
          <w:sz w:val="24"/>
          <w:lang w:bidi="ar"/>
        </w:rPr>
      </w:pPr>
    </w:p>
    <w:p w14:paraId="0EA36759">
      <w:pPr>
        <w:pStyle w:val="2"/>
        <w:jc w:val="center"/>
        <w:rPr>
          <w:rFonts w:hint="default" w:ascii="黑体" w:hAnsi="黑体" w:eastAsia="黑体"/>
          <w:sz w:val="36"/>
          <w:szCs w:val="36"/>
          <w:lang w:bidi="ar"/>
        </w:rPr>
      </w:pPr>
      <w:bookmarkStart w:id="0" w:name="_Toc183083262"/>
      <w:r>
        <w:rPr>
          <w:rFonts w:ascii="黑体" w:hAnsi="黑体" w:eastAsia="黑体"/>
          <w:sz w:val="36"/>
          <w:szCs w:val="36"/>
          <w:lang w:bidi="ar"/>
        </w:rPr>
        <w:t>第一章</w:t>
      </w:r>
      <w:r>
        <w:rPr>
          <w:rFonts w:ascii="黑体" w:hAnsi="黑体" w:eastAsia="黑体" w:cs="仿宋"/>
          <w:sz w:val="36"/>
          <w:szCs w:val="36"/>
          <w:lang w:bidi="ar"/>
        </w:rPr>
        <w:t xml:space="preserve"> </w:t>
      </w:r>
      <w:r>
        <w:rPr>
          <w:rFonts w:ascii="黑体" w:hAnsi="黑体" w:eastAsia="黑体"/>
          <w:sz w:val="36"/>
          <w:szCs w:val="36"/>
          <w:lang w:bidi="ar"/>
        </w:rPr>
        <w:t>发展现状与发展环境</w:t>
      </w:r>
      <w:bookmarkEnd w:id="0"/>
    </w:p>
    <w:p w14:paraId="5D6F5122">
      <w:pPr>
        <w:pStyle w:val="3"/>
        <w:rPr>
          <w:rFonts w:asciiTheme="minorEastAsia" w:hAnsiTheme="minorEastAsia" w:eastAsiaTheme="minorEastAsia"/>
          <w:sz w:val="28"/>
          <w:szCs w:val="28"/>
        </w:rPr>
      </w:pPr>
      <w:bookmarkStart w:id="1" w:name="_Toc183083263"/>
      <w:r>
        <w:rPr>
          <w:rFonts w:asciiTheme="minorEastAsia" w:hAnsiTheme="minorEastAsia" w:eastAsiaTheme="minorEastAsia"/>
          <w:sz w:val="28"/>
          <w:szCs w:val="28"/>
        </w:rPr>
        <w:t>一、发展基础</w:t>
      </w:r>
      <w:bookmarkEnd w:id="1"/>
    </w:p>
    <w:p w14:paraId="28661906">
      <w:pPr>
        <w:pStyle w:val="4"/>
        <w:spacing w:before="120" w:after="120" w:line="360" w:lineRule="auto"/>
        <w:rPr>
          <w:sz w:val="24"/>
          <w:szCs w:val="24"/>
        </w:rPr>
      </w:pPr>
      <w:r>
        <w:rPr>
          <w:sz w:val="24"/>
          <w:szCs w:val="24"/>
        </w:rPr>
        <w:t>（一）经济</w:t>
      </w:r>
      <w:r>
        <w:rPr>
          <w:rFonts w:hint="eastAsia"/>
          <w:sz w:val="24"/>
          <w:szCs w:val="24"/>
        </w:rPr>
        <w:t>社会发展</w:t>
      </w:r>
      <w:r>
        <w:rPr>
          <w:sz w:val="24"/>
          <w:szCs w:val="24"/>
        </w:rPr>
        <w:t>，电商示范引领</w:t>
      </w:r>
    </w:p>
    <w:p w14:paraId="6EDB7ABE">
      <w:pPr>
        <w:spacing w:line="360" w:lineRule="auto"/>
        <w:ind w:firstLine="480" w:firstLineChars="200"/>
        <w:rPr>
          <w:rFonts w:ascii="宋体" w:hAnsi="宋体" w:eastAsia="宋体" w:cs="Times New Roman"/>
          <w:sz w:val="24"/>
        </w:rPr>
      </w:pPr>
      <w:r>
        <w:rPr>
          <w:rFonts w:ascii="宋体" w:hAnsi="宋体" w:eastAsia="宋体" w:cs="Times New Roman"/>
          <w:sz w:val="24"/>
        </w:rPr>
        <w:t>近年来，郧阳区</w:t>
      </w:r>
      <w:r>
        <w:rPr>
          <w:rFonts w:hint="eastAsia" w:ascii="宋体" w:hAnsi="宋体" w:eastAsia="宋体" w:cs="Times New Roman"/>
          <w:sz w:val="24"/>
        </w:rPr>
        <w:t>经济蓬勃发展，获得“全国旅游发展潜力百佳区”、“全省县域商业体系建设示范县”、</w:t>
      </w:r>
      <w:r>
        <w:rPr>
          <w:rFonts w:ascii="宋体" w:hAnsi="宋体" w:eastAsia="宋体" w:cs="Times New Roman"/>
          <w:sz w:val="24"/>
        </w:rPr>
        <w:t>“全省消费十强县”</w:t>
      </w:r>
      <w:r>
        <w:rPr>
          <w:rFonts w:hint="eastAsia" w:ascii="宋体" w:hAnsi="宋体" w:eastAsia="宋体" w:cs="Times New Roman"/>
          <w:sz w:val="24"/>
        </w:rPr>
        <w:t>等多项国家级和省级荣誉。2023年被国家交通部、国家邮政局授予全国第四批农村物流服务品牌；2</w:t>
      </w:r>
      <w:r>
        <w:rPr>
          <w:rFonts w:ascii="宋体" w:hAnsi="宋体" w:eastAsia="宋体" w:cs="Times New Roman"/>
          <w:sz w:val="24"/>
        </w:rPr>
        <w:t>024</w:t>
      </w:r>
      <w:r>
        <w:rPr>
          <w:rFonts w:hint="eastAsia" w:ascii="宋体" w:hAnsi="宋体" w:eastAsia="宋体" w:cs="Times New Roman"/>
          <w:sz w:val="24"/>
        </w:rPr>
        <w:t>年入选第二批全国县域商业“领跑县”。自2</w:t>
      </w:r>
      <w:r>
        <w:rPr>
          <w:rFonts w:ascii="宋体" w:hAnsi="宋体" w:eastAsia="宋体" w:cs="Times New Roman"/>
          <w:sz w:val="24"/>
        </w:rPr>
        <w:t>018</w:t>
      </w:r>
      <w:r>
        <w:rPr>
          <w:rFonts w:hint="eastAsia" w:ascii="宋体" w:hAnsi="宋体" w:eastAsia="宋体" w:cs="Times New Roman"/>
          <w:sz w:val="24"/>
        </w:rPr>
        <w:t>年入选“国家级电子商务进农村综合示范县”以来，</w:t>
      </w:r>
      <w:r>
        <w:rPr>
          <w:rFonts w:ascii="宋体" w:hAnsi="宋体" w:eastAsia="宋体" w:cs="Times New Roman"/>
          <w:sz w:val="24"/>
        </w:rPr>
        <w:t>电商</w:t>
      </w:r>
      <w:r>
        <w:rPr>
          <w:rFonts w:hint="eastAsia" w:ascii="宋体" w:hAnsi="宋体" w:eastAsia="宋体" w:cs="Times New Roman"/>
          <w:sz w:val="24"/>
        </w:rPr>
        <w:t>交易业绩显著</w:t>
      </w:r>
      <w:r>
        <w:rPr>
          <w:rFonts w:ascii="宋体" w:hAnsi="宋体" w:eastAsia="宋体" w:cs="Times New Roman"/>
          <w:sz w:val="24"/>
        </w:rPr>
        <w:t>，预计2024年</w:t>
      </w:r>
      <w:r>
        <w:rPr>
          <w:rFonts w:hint="eastAsia" w:ascii="宋体" w:hAnsi="宋体" w:eastAsia="宋体" w:cs="Times New Roman"/>
          <w:sz w:val="24"/>
        </w:rPr>
        <w:t>电子商务交易</w:t>
      </w:r>
      <w:r>
        <w:rPr>
          <w:rFonts w:ascii="宋体" w:hAnsi="宋体" w:eastAsia="宋体" w:cs="Times New Roman"/>
          <w:sz w:val="24"/>
        </w:rPr>
        <w:t>将</w:t>
      </w:r>
      <w:r>
        <w:rPr>
          <w:rFonts w:hint="eastAsia" w:ascii="宋体" w:hAnsi="宋体" w:eastAsia="宋体" w:cs="Times New Roman"/>
          <w:sz w:val="24"/>
        </w:rPr>
        <w:t>达</w:t>
      </w:r>
      <w:r>
        <w:rPr>
          <w:rFonts w:ascii="宋体" w:hAnsi="宋体" w:eastAsia="宋体" w:cs="Times New Roman"/>
          <w:sz w:val="24"/>
        </w:rPr>
        <w:t>31亿元</w:t>
      </w:r>
      <w:r>
        <w:rPr>
          <w:rFonts w:hint="eastAsia" w:ascii="宋体" w:hAnsi="宋体" w:eastAsia="宋体" w:cs="Times New Roman"/>
          <w:sz w:val="24"/>
        </w:rPr>
        <w:t>，农村网络零售额将达1</w:t>
      </w:r>
      <w:r>
        <w:rPr>
          <w:rFonts w:ascii="宋体" w:hAnsi="宋体" w:eastAsia="宋体" w:cs="Times New Roman"/>
          <w:sz w:val="24"/>
        </w:rPr>
        <w:t>0</w:t>
      </w:r>
      <w:r>
        <w:rPr>
          <w:rFonts w:hint="eastAsia" w:ascii="宋体" w:hAnsi="宋体" w:eastAsia="宋体" w:cs="Times New Roman"/>
          <w:sz w:val="24"/>
        </w:rPr>
        <w:t>亿元、农产品网络零售额将达2</w:t>
      </w:r>
      <w:r>
        <w:rPr>
          <w:rFonts w:ascii="宋体" w:hAnsi="宋体" w:eastAsia="宋体" w:cs="Times New Roman"/>
          <w:sz w:val="24"/>
        </w:rPr>
        <w:t>.4</w:t>
      </w:r>
      <w:r>
        <w:rPr>
          <w:rFonts w:hint="eastAsia" w:ascii="宋体" w:hAnsi="宋体" w:eastAsia="宋体" w:cs="Times New Roman"/>
          <w:sz w:val="24"/>
        </w:rPr>
        <w:t>亿元</w:t>
      </w:r>
      <w:r>
        <w:rPr>
          <w:rFonts w:ascii="宋体" w:hAnsi="宋体" w:eastAsia="宋体" w:cs="Times New Roman"/>
          <w:sz w:val="24"/>
        </w:rPr>
        <w:t>。</w:t>
      </w:r>
    </w:p>
    <w:p w14:paraId="50828993">
      <w:pPr>
        <w:pStyle w:val="4"/>
        <w:spacing w:before="120" w:after="120" w:line="360" w:lineRule="auto"/>
        <w:rPr>
          <w:sz w:val="24"/>
          <w:szCs w:val="24"/>
        </w:rPr>
      </w:pPr>
      <w:r>
        <w:rPr>
          <w:sz w:val="24"/>
          <w:szCs w:val="24"/>
        </w:rPr>
        <w:t>（</w:t>
      </w:r>
      <w:r>
        <w:rPr>
          <w:rFonts w:hint="eastAsia"/>
          <w:sz w:val="24"/>
          <w:szCs w:val="24"/>
        </w:rPr>
        <w:t>二</w:t>
      </w:r>
      <w:r>
        <w:rPr>
          <w:sz w:val="24"/>
          <w:szCs w:val="24"/>
        </w:rPr>
        <w:t>）</w:t>
      </w:r>
      <w:r>
        <w:rPr>
          <w:rFonts w:hint="eastAsia"/>
          <w:sz w:val="24"/>
          <w:szCs w:val="24"/>
        </w:rPr>
        <w:t>基础设施完善</w:t>
      </w:r>
      <w:r>
        <w:rPr>
          <w:sz w:val="24"/>
          <w:szCs w:val="24"/>
        </w:rPr>
        <w:t>，网络覆盖城乡</w:t>
      </w:r>
    </w:p>
    <w:p w14:paraId="223CCBF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郧阳区狠抓交通基础设施建设</w:t>
      </w:r>
      <w:r>
        <w:rPr>
          <w:rFonts w:ascii="宋体" w:hAnsi="宋体" w:eastAsia="宋体" w:cs="Times New Roman"/>
          <w:sz w:val="24"/>
        </w:rPr>
        <w:t>，公路总里程超五千公里，高速公路、一级公路、二级公路密布，内河航道与港口设施完善，客运站点遍布全区，</w:t>
      </w:r>
      <w:r>
        <w:rPr>
          <w:rFonts w:hint="eastAsia" w:ascii="宋体" w:hAnsi="宋体" w:eastAsia="宋体" w:cs="Times New Roman"/>
          <w:sz w:val="24"/>
        </w:rPr>
        <w:t>实现20户以上自然村100%通水泥路，100%的行政村通客车。柳陂镇、茶店镇先后于2019年、2021年获得湖北省“四好农村路”示范乡镇荣誉称号。2023年郧阳区成功创成湖北省“四好农村路”示范县。</w:t>
      </w:r>
      <w:r>
        <w:rPr>
          <w:rFonts w:ascii="宋体" w:hAnsi="宋体" w:eastAsia="宋体" w:cs="Times New Roman"/>
          <w:sz w:val="24"/>
        </w:rPr>
        <w:t>同时，网络通信基础设施全面升级，</w:t>
      </w:r>
      <w:r>
        <w:rPr>
          <w:rFonts w:hint="eastAsia" w:ascii="宋体" w:hAnsi="宋体" w:eastAsia="宋体" w:cs="Times New Roman"/>
          <w:sz w:val="24"/>
        </w:rPr>
        <w:t>至今已建成900座5G基站，</w:t>
      </w:r>
      <w:r>
        <w:rPr>
          <w:rFonts w:ascii="宋体" w:hAnsi="宋体" w:eastAsia="宋体" w:cs="Times New Roman"/>
          <w:sz w:val="24"/>
        </w:rPr>
        <w:t>为电商发展提供了坚实的</w:t>
      </w:r>
      <w:r>
        <w:rPr>
          <w:rFonts w:hint="eastAsia" w:ascii="宋体" w:hAnsi="宋体" w:eastAsia="宋体" w:cs="Times New Roman"/>
          <w:sz w:val="24"/>
        </w:rPr>
        <w:t>设施</w:t>
      </w:r>
      <w:r>
        <w:rPr>
          <w:rFonts w:ascii="宋体" w:hAnsi="宋体" w:eastAsia="宋体" w:cs="Times New Roman"/>
          <w:sz w:val="24"/>
        </w:rPr>
        <w:t>基础。</w:t>
      </w:r>
    </w:p>
    <w:p w14:paraId="36003313">
      <w:pPr>
        <w:pStyle w:val="4"/>
        <w:spacing w:before="120" w:after="120" w:line="360" w:lineRule="auto"/>
        <w:rPr>
          <w:sz w:val="24"/>
          <w:szCs w:val="24"/>
        </w:rPr>
      </w:pPr>
      <w:r>
        <w:rPr>
          <w:sz w:val="24"/>
          <w:szCs w:val="24"/>
        </w:rPr>
        <w:t>（</w:t>
      </w:r>
      <w:r>
        <w:rPr>
          <w:rFonts w:hint="eastAsia"/>
          <w:sz w:val="24"/>
          <w:szCs w:val="24"/>
        </w:rPr>
        <w:t>三</w:t>
      </w:r>
      <w:r>
        <w:rPr>
          <w:sz w:val="24"/>
          <w:szCs w:val="24"/>
        </w:rPr>
        <w:t>）工业转型加速，产业升级提质</w:t>
      </w:r>
    </w:p>
    <w:p w14:paraId="176E5D9A">
      <w:pPr>
        <w:spacing w:line="360" w:lineRule="auto"/>
        <w:ind w:firstLine="480" w:firstLineChars="200"/>
        <w:rPr>
          <w:rFonts w:ascii="宋体" w:hAnsi="宋体" w:eastAsia="宋体" w:cs="Times New Roman"/>
          <w:sz w:val="24"/>
        </w:rPr>
      </w:pPr>
      <w:r>
        <w:rPr>
          <w:rFonts w:ascii="宋体" w:hAnsi="宋体" w:eastAsia="宋体" w:cs="Times New Roman"/>
          <w:sz w:val="24"/>
        </w:rPr>
        <w:t>郧阳区</w:t>
      </w:r>
      <w:r>
        <w:rPr>
          <w:rFonts w:hint="eastAsia" w:ascii="宋体" w:hAnsi="宋体" w:eastAsia="宋体" w:cs="Times New Roman"/>
          <w:sz w:val="24"/>
        </w:rPr>
        <w:t>坚持以“延链补链强链”为着力点，</w:t>
      </w:r>
      <w:r>
        <w:rPr>
          <w:rFonts w:ascii="宋体" w:hAnsi="宋体" w:eastAsia="宋体" w:cs="Times New Roman"/>
          <w:sz w:val="24"/>
        </w:rPr>
        <w:t>以“项目为王”为导向，</w:t>
      </w:r>
      <w:r>
        <w:rPr>
          <w:rFonts w:hint="eastAsia" w:ascii="宋体" w:hAnsi="宋体" w:eastAsia="宋体" w:cs="Times New Roman"/>
          <w:sz w:val="24"/>
        </w:rPr>
        <w:t>推动经济提质升级</w:t>
      </w:r>
      <w:r>
        <w:rPr>
          <w:rFonts w:ascii="宋体" w:hAnsi="宋体" w:eastAsia="宋体" w:cs="Times New Roman"/>
          <w:sz w:val="24"/>
        </w:rPr>
        <w:t>。2023年工业投资与技改投资均实现大幅增长</w:t>
      </w:r>
      <w:r>
        <w:rPr>
          <w:rFonts w:hint="eastAsia" w:ascii="宋体" w:hAnsi="宋体" w:eastAsia="宋体" w:cs="Times New Roman"/>
          <w:sz w:val="24"/>
        </w:rPr>
        <w:t>，</w:t>
      </w:r>
      <w:r>
        <w:rPr>
          <w:rFonts w:ascii="宋体" w:hAnsi="宋体" w:eastAsia="宋体" w:cs="Times New Roman"/>
          <w:sz w:val="24"/>
        </w:rPr>
        <w:t>工业投资超44亿元，技改投资同比增长六成有余，经济活力持续迸发</w:t>
      </w:r>
      <w:r>
        <w:rPr>
          <w:rFonts w:hint="eastAsia" w:ascii="宋体" w:hAnsi="宋体" w:eastAsia="宋体" w:cs="Times New Roman"/>
          <w:sz w:val="24"/>
        </w:rPr>
        <w:t>。着力</w:t>
      </w:r>
      <w:r>
        <w:rPr>
          <w:rFonts w:hint="eastAsia" w:ascii="宋体" w:hAnsi="宋体" w:eastAsia="宋体"/>
          <w:sz w:val="24"/>
        </w:rPr>
        <w:t>发展“一主三优多支撑”产业体系，持续推动新能源和智能网联汽车产业转型升级，</w:t>
      </w:r>
      <w:r>
        <w:rPr>
          <w:rFonts w:hint="eastAsia" w:ascii="宋体" w:hAnsi="宋体" w:eastAsia="宋体" w:cs="Times New Roman"/>
          <w:sz w:val="24"/>
        </w:rPr>
        <w:t>新能源汽车及零部件产业集群入选2024年省县域特色产业集群，继续壮大新材料、生</w:t>
      </w:r>
      <w:r>
        <w:rPr>
          <w:rFonts w:hint="eastAsia" w:ascii="宋体" w:hAnsi="宋体" w:eastAsia="宋体"/>
          <w:sz w:val="24"/>
        </w:rPr>
        <w:t>物科技、文旅康养等三个优势产业，培育发展循环经济、清洁能源、绿色矿业、纺织袜业等多支撑产业，为实现绿色可持续发展样板区目标筑牢产业支撑。</w:t>
      </w:r>
    </w:p>
    <w:p w14:paraId="257A608D">
      <w:pPr>
        <w:pStyle w:val="4"/>
        <w:spacing w:before="120" w:after="120" w:line="360" w:lineRule="auto"/>
        <w:rPr>
          <w:sz w:val="24"/>
          <w:szCs w:val="24"/>
        </w:rPr>
      </w:pPr>
      <w:r>
        <w:rPr>
          <w:sz w:val="24"/>
          <w:szCs w:val="24"/>
        </w:rPr>
        <w:t>（</w:t>
      </w:r>
      <w:r>
        <w:rPr>
          <w:rFonts w:hint="eastAsia"/>
          <w:sz w:val="24"/>
          <w:szCs w:val="24"/>
        </w:rPr>
        <w:t>四</w:t>
      </w:r>
      <w:r>
        <w:rPr>
          <w:sz w:val="24"/>
          <w:szCs w:val="24"/>
        </w:rPr>
        <w:t>）文旅资源丰富，融合发展深化</w:t>
      </w:r>
    </w:p>
    <w:p w14:paraId="2523239A">
      <w:pPr>
        <w:spacing w:line="360" w:lineRule="auto"/>
        <w:ind w:firstLine="480" w:firstLineChars="200"/>
        <w:rPr>
          <w:rFonts w:ascii="宋体" w:hAnsi="宋体" w:eastAsia="宋体" w:cs="Times New Roman"/>
          <w:sz w:val="24"/>
        </w:rPr>
      </w:pPr>
      <w:r>
        <w:rPr>
          <w:rFonts w:ascii="宋体" w:hAnsi="宋体" w:eastAsia="宋体" w:cs="Times New Roman"/>
          <w:sz w:val="24"/>
        </w:rPr>
        <w:t>郧阳</w:t>
      </w:r>
      <w:r>
        <w:rPr>
          <w:rFonts w:hint="eastAsia" w:ascii="宋体" w:hAnsi="宋体" w:eastAsia="宋体" w:cs="Times New Roman"/>
          <w:sz w:val="24"/>
        </w:rPr>
        <w:t>区是国家南水北调中线工程核心水源区、古郧阳府府治所在地、绿色可持续发展样板区，</w:t>
      </w:r>
      <w:r>
        <w:rPr>
          <w:rFonts w:ascii="宋体" w:hAnsi="宋体" w:eastAsia="宋体" w:cs="Times New Roman"/>
          <w:sz w:val="24"/>
        </w:rPr>
        <w:t>文化底蕴深厚，自然风光旖旎，拥有</w:t>
      </w:r>
      <w:r>
        <w:rPr>
          <w:rFonts w:hint="eastAsia" w:ascii="宋体" w:hAnsi="宋体" w:eastAsia="宋体" w:cs="Times New Roman"/>
          <w:sz w:val="24"/>
        </w:rPr>
        <w:t>4A级旅游景区4家、3A级旅游景区9家、2A级旅游景区1家。近年来，凭借丰富的非物质文化遗产资源，通过精准定位、文旅深度融合、非遗融入生活、发展特色文创产业等举措开展了多次文旅活动</w:t>
      </w:r>
      <w:r>
        <w:rPr>
          <w:rFonts w:ascii="宋体" w:hAnsi="宋体" w:eastAsia="宋体" w:cs="Times New Roman"/>
          <w:sz w:val="24"/>
        </w:rPr>
        <w:t>，</w:t>
      </w:r>
      <w:r>
        <w:rPr>
          <w:rFonts w:ascii="Segoe UI" w:hAnsi="Segoe UI" w:eastAsia="宋体" w:cs="Segoe UI"/>
          <w:kern w:val="0"/>
          <w:sz w:val="24"/>
        </w:rPr>
        <w:t>学堂梁子遗址公园</w:t>
      </w:r>
      <w:r>
        <w:rPr>
          <w:rFonts w:hint="eastAsia" w:ascii="Segoe UI" w:hAnsi="Segoe UI" w:eastAsia="宋体" w:cs="Segoe UI"/>
          <w:kern w:val="0"/>
          <w:sz w:val="24"/>
          <w:lang w:eastAsia="zh-CN"/>
        </w:rPr>
        <w:t>、</w:t>
      </w:r>
      <w:r>
        <w:rPr>
          <w:rFonts w:hint="eastAsia" w:ascii="Segoe UI" w:hAnsi="Segoe UI" w:eastAsia="宋体" w:cs="Segoe UI"/>
          <w:kern w:val="0"/>
          <w:sz w:val="24"/>
          <w:lang w:val="en-US" w:eastAsia="zh-CN"/>
        </w:rPr>
        <w:t>青龙山国家地址公园、</w:t>
      </w:r>
      <w:r>
        <w:rPr>
          <w:rFonts w:ascii="Segoe UI" w:hAnsi="Segoe UI" w:eastAsia="宋体" w:cs="Segoe UI"/>
          <w:kern w:val="0"/>
          <w:sz w:val="24"/>
        </w:rPr>
        <w:t>云盖寺绿松石国家矿山公园</w:t>
      </w:r>
      <w:r>
        <w:rPr>
          <w:rFonts w:hint="eastAsia" w:ascii="Segoe UI" w:hAnsi="Segoe UI" w:eastAsia="宋体" w:cs="Segoe UI"/>
          <w:kern w:val="0"/>
          <w:sz w:val="24"/>
          <w:lang w:eastAsia="zh-CN"/>
        </w:rPr>
        <w:t>、</w:t>
      </w:r>
      <w:r>
        <w:rPr>
          <w:rFonts w:hint="eastAsia" w:ascii="Segoe UI" w:hAnsi="Segoe UI" w:eastAsia="宋体" w:cs="Segoe UI"/>
          <w:kern w:val="0"/>
          <w:sz w:val="24"/>
        </w:rPr>
        <w:t>武当不夜城、</w:t>
      </w:r>
      <w:r>
        <w:rPr>
          <w:rFonts w:ascii="Segoe UI" w:hAnsi="Segoe UI" w:eastAsia="宋体" w:cs="Segoe UI"/>
          <w:kern w:val="0"/>
          <w:sz w:val="24"/>
        </w:rPr>
        <w:t>汉水九歌</w:t>
      </w:r>
      <w:r>
        <w:rPr>
          <w:rFonts w:hint="eastAsia" w:ascii="Segoe UI" w:hAnsi="Segoe UI" w:eastAsia="宋体" w:cs="Segoe UI"/>
          <w:kern w:val="0"/>
          <w:sz w:val="24"/>
        </w:rPr>
        <w:t>、</w:t>
      </w:r>
      <w:r>
        <w:rPr>
          <w:rFonts w:ascii="Segoe UI" w:hAnsi="Segoe UI" w:eastAsia="宋体" w:cs="Segoe UI"/>
          <w:kern w:val="0"/>
          <w:sz w:val="24"/>
        </w:rPr>
        <w:t>武当传统文化园</w:t>
      </w:r>
      <w:r>
        <w:rPr>
          <w:rFonts w:hint="eastAsia" w:ascii="Segoe UI" w:hAnsi="Segoe UI" w:eastAsia="宋体" w:cs="Segoe UI"/>
          <w:kern w:val="0"/>
          <w:sz w:val="24"/>
        </w:rPr>
        <w:t>等景点</w:t>
      </w:r>
      <w:r>
        <w:rPr>
          <w:rFonts w:cs="Segoe UI" w:asciiTheme="minorEastAsia" w:hAnsiTheme="minorEastAsia"/>
          <w:kern w:val="0"/>
          <w:sz w:val="24"/>
        </w:rPr>
        <w:t>游客量大幅增加，全区规上文化产业企业达46家，</w:t>
      </w:r>
      <w:r>
        <w:rPr>
          <w:rFonts w:hint="eastAsia" w:cs="Segoe UI" w:asciiTheme="minorEastAsia" w:hAnsiTheme="minorEastAsia"/>
          <w:kern w:val="0"/>
          <w:sz w:val="24"/>
        </w:rPr>
        <w:t>2</w:t>
      </w:r>
      <w:r>
        <w:rPr>
          <w:rFonts w:cs="Segoe UI" w:asciiTheme="minorEastAsia" w:hAnsiTheme="minorEastAsia"/>
          <w:kern w:val="0"/>
          <w:sz w:val="24"/>
        </w:rPr>
        <w:t>023</w:t>
      </w:r>
      <w:r>
        <w:rPr>
          <w:rFonts w:hint="eastAsia" w:cs="Segoe UI" w:asciiTheme="minorEastAsia" w:hAnsiTheme="minorEastAsia"/>
          <w:kern w:val="0"/>
          <w:sz w:val="24"/>
        </w:rPr>
        <w:t>年</w:t>
      </w:r>
      <w:r>
        <w:rPr>
          <w:rFonts w:cs="Segoe UI" w:asciiTheme="minorEastAsia" w:hAnsiTheme="minorEastAsia"/>
          <w:kern w:val="0"/>
          <w:sz w:val="24"/>
        </w:rPr>
        <w:t>实现文旅综合收入172亿元。</w:t>
      </w:r>
    </w:p>
    <w:p w14:paraId="3DF55FC9">
      <w:pPr>
        <w:pStyle w:val="4"/>
        <w:spacing w:before="120" w:after="120" w:line="360" w:lineRule="auto"/>
        <w:rPr>
          <w:sz w:val="24"/>
          <w:szCs w:val="24"/>
        </w:rPr>
      </w:pPr>
      <w:r>
        <w:rPr>
          <w:sz w:val="24"/>
          <w:szCs w:val="24"/>
        </w:rPr>
        <w:t>（</w:t>
      </w:r>
      <w:r>
        <w:rPr>
          <w:rFonts w:hint="eastAsia"/>
          <w:sz w:val="24"/>
          <w:szCs w:val="24"/>
        </w:rPr>
        <w:t>五</w:t>
      </w:r>
      <w:r>
        <w:rPr>
          <w:sz w:val="24"/>
          <w:szCs w:val="24"/>
        </w:rPr>
        <w:t>）农特产品丰饶，品牌效应</w:t>
      </w:r>
      <w:r>
        <w:rPr>
          <w:rFonts w:hint="eastAsia"/>
          <w:sz w:val="24"/>
          <w:szCs w:val="24"/>
        </w:rPr>
        <w:t>初</w:t>
      </w:r>
      <w:r>
        <w:rPr>
          <w:sz w:val="24"/>
          <w:szCs w:val="24"/>
        </w:rPr>
        <w:t>显</w:t>
      </w:r>
    </w:p>
    <w:p w14:paraId="0A179A1E">
      <w:pPr>
        <w:spacing w:line="360" w:lineRule="auto"/>
        <w:ind w:firstLine="480" w:firstLineChars="200"/>
        <w:rPr>
          <w:rFonts w:ascii="宋体" w:hAnsi="宋体" w:eastAsia="宋体" w:cs="Times New Roman"/>
          <w:sz w:val="24"/>
        </w:rPr>
      </w:pPr>
      <w:r>
        <w:rPr>
          <w:rFonts w:ascii="宋体" w:hAnsi="宋体" w:eastAsia="宋体" w:cs="Times New Roman"/>
          <w:sz w:val="24"/>
        </w:rPr>
        <w:t>郧阳区</w:t>
      </w:r>
      <w:r>
        <w:rPr>
          <w:rFonts w:hint="eastAsia" w:ascii="宋体" w:hAnsi="宋体" w:eastAsia="宋体" w:cs="Times New Roman"/>
          <w:sz w:val="24"/>
        </w:rPr>
        <w:t>农产品种类丰富，如香菇、红薯粉条、药用木瓜、桑蚕丝、葛根粉、黄酒、土鸡蛋、桑葚、石榴、菜籽油、油橄榄、樱桃、蜂蜜、鲟鱼、罗非鱼、胭脂米、金丝黄菊等均小有名气。现有国家级农业产业化重点龙头企业1家、省级农业产业化重点龙头企业10家、市级农业产业化重点龙头企业35家，省级家庭农场1</w:t>
      </w:r>
      <w:r>
        <w:rPr>
          <w:rFonts w:ascii="宋体" w:hAnsi="宋体" w:eastAsia="宋体" w:cs="Times New Roman"/>
          <w:sz w:val="24"/>
        </w:rPr>
        <w:t>6</w:t>
      </w:r>
      <w:r>
        <w:rPr>
          <w:rFonts w:hint="eastAsia" w:ascii="宋体" w:hAnsi="宋体" w:eastAsia="宋体" w:cs="Times New Roman"/>
          <w:sz w:val="24"/>
        </w:rPr>
        <w:t>家、市级家庭农场1</w:t>
      </w:r>
      <w:r>
        <w:rPr>
          <w:rFonts w:ascii="宋体" w:hAnsi="宋体" w:eastAsia="宋体" w:cs="Times New Roman"/>
          <w:sz w:val="24"/>
        </w:rPr>
        <w:t>4</w:t>
      </w:r>
      <w:r>
        <w:rPr>
          <w:rFonts w:hint="eastAsia" w:ascii="宋体" w:hAnsi="宋体" w:eastAsia="宋体" w:cs="Times New Roman"/>
          <w:sz w:val="24"/>
        </w:rPr>
        <w:t>家，各类型专业合作社1</w:t>
      </w:r>
      <w:r>
        <w:rPr>
          <w:rFonts w:ascii="宋体" w:hAnsi="宋体" w:eastAsia="宋体" w:cs="Times New Roman"/>
          <w:sz w:val="24"/>
        </w:rPr>
        <w:t>508</w:t>
      </w:r>
      <w:r>
        <w:rPr>
          <w:rFonts w:hint="eastAsia" w:ascii="宋体" w:hAnsi="宋体" w:eastAsia="宋体" w:cs="Times New Roman"/>
          <w:sz w:val="24"/>
        </w:rPr>
        <w:t>家。拥有国家地理标志产品9个，两品一标产品63个，胡家营镇（桑蚕）、杨溪铺镇（香菇）、青山镇（茶叶）等获评全国“一村一品”示范村镇。这些</w:t>
      </w:r>
      <w:r>
        <w:rPr>
          <w:rFonts w:ascii="宋体" w:hAnsi="宋体" w:eastAsia="宋体" w:cs="Times New Roman"/>
          <w:sz w:val="24"/>
        </w:rPr>
        <w:t>为电商发展提供了丰富的产品资源与品牌支撑。</w:t>
      </w:r>
    </w:p>
    <w:p w14:paraId="3CA6C551">
      <w:pPr>
        <w:pStyle w:val="4"/>
        <w:spacing w:before="120" w:after="120" w:line="360" w:lineRule="auto"/>
        <w:rPr>
          <w:sz w:val="24"/>
          <w:szCs w:val="24"/>
        </w:rPr>
      </w:pPr>
      <w:r>
        <w:rPr>
          <w:sz w:val="24"/>
          <w:szCs w:val="24"/>
        </w:rPr>
        <w:t>（</w:t>
      </w:r>
      <w:r>
        <w:rPr>
          <w:rFonts w:hint="eastAsia"/>
          <w:sz w:val="24"/>
          <w:szCs w:val="24"/>
        </w:rPr>
        <w:t>六</w:t>
      </w:r>
      <w:r>
        <w:rPr>
          <w:sz w:val="24"/>
          <w:szCs w:val="24"/>
        </w:rPr>
        <w:t>）电商</w:t>
      </w:r>
      <w:r>
        <w:rPr>
          <w:rFonts w:hint="eastAsia"/>
          <w:sz w:val="24"/>
          <w:szCs w:val="24"/>
        </w:rPr>
        <w:t>要素初成</w:t>
      </w:r>
      <w:r>
        <w:rPr>
          <w:sz w:val="24"/>
          <w:szCs w:val="24"/>
        </w:rPr>
        <w:t>，</w:t>
      </w:r>
      <w:r>
        <w:rPr>
          <w:rFonts w:hint="eastAsia"/>
          <w:sz w:val="24"/>
          <w:szCs w:val="24"/>
        </w:rPr>
        <w:t>服务惠及全域</w:t>
      </w:r>
    </w:p>
    <w:p w14:paraId="7BC472B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电商产业园初见雏形，使用面积3万多平方米的郧阳数字港是十堰市最大、设施最齐全的供应链中心、电商服务中心和电商直播基地。现有物流快递企业9家</w:t>
      </w:r>
      <w:r>
        <w:rPr>
          <w:rFonts w:ascii="宋体" w:hAnsi="宋体" w:eastAsia="宋体" w:cs="Times New Roman"/>
          <w:sz w:val="24"/>
        </w:rPr>
        <w:t>，</w:t>
      </w:r>
      <w:r>
        <w:rPr>
          <w:rFonts w:hint="eastAsia" w:ascii="宋体" w:hAnsi="宋体" w:eastAsia="宋体" w:cs="Times New Roman"/>
          <w:sz w:val="24"/>
        </w:rPr>
        <w:t>中通、申通、圆通、韵达、极兔等5家快递公司入驻区寄递物流共配中心，2</w:t>
      </w:r>
      <w:r>
        <w:rPr>
          <w:rFonts w:ascii="宋体" w:hAnsi="宋体" w:eastAsia="宋体" w:cs="Times New Roman"/>
          <w:sz w:val="24"/>
        </w:rPr>
        <w:t>023</w:t>
      </w:r>
      <w:r>
        <w:rPr>
          <w:rFonts w:hint="eastAsia" w:ascii="宋体" w:hAnsi="宋体" w:eastAsia="宋体" w:cs="Times New Roman"/>
          <w:sz w:val="24"/>
        </w:rPr>
        <w:t>年全区包裹达1</w:t>
      </w:r>
      <w:r>
        <w:rPr>
          <w:rFonts w:ascii="宋体" w:hAnsi="宋体" w:eastAsia="宋体" w:cs="Times New Roman"/>
          <w:sz w:val="24"/>
        </w:rPr>
        <w:t>433</w:t>
      </w:r>
      <w:r>
        <w:rPr>
          <w:rFonts w:hint="eastAsia" w:ascii="宋体" w:hAnsi="宋体" w:eastAsia="宋体" w:cs="Times New Roman"/>
          <w:sz w:val="24"/>
        </w:rPr>
        <w:t>万件、营业额达2</w:t>
      </w:r>
      <w:r>
        <w:rPr>
          <w:rFonts w:ascii="宋体" w:hAnsi="宋体" w:eastAsia="宋体" w:cs="Times New Roman"/>
          <w:sz w:val="24"/>
        </w:rPr>
        <w:t>493</w:t>
      </w:r>
      <w:r>
        <w:rPr>
          <w:rFonts w:hint="eastAsia" w:ascii="宋体" w:hAnsi="宋体" w:eastAsia="宋体" w:cs="Times New Roman"/>
          <w:sz w:val="24"/>
        </w:rPr>
        <w:t>万元。</w:t>
      </w:r>
      <w:r>
        <w:rPr>
          <w:rFonts w:ascii="宋体" w:hAnsi="宋体" w:eastAsia="宋体" w:cs="Times New Roman"/>
          <w:sz w:val="24"/>
        </w:rPr>
        <w:t>农村邮政快递网点实现节点网、配送网、信息网、产业网“四网融合、一体联动”</w:t>
      </w:r>
      <w:r>
        <w:rPr>
          <w:rFonts w:hint="eastAsia" w:ascii="宋体" w:hAnsi="宋体" w:eastAsia="宋体" w:cs="Times New Roman"/>
          <w:sz w:val="24"/>
        </w:rPr>
        <w:t>，入选</w:t>
      </w:r>
      <w:r>
        <w:rPr>
          <w:rFonts w:ascii="宋体" w:hAnsi="宋体" w:eastAsia="宋体" w:cs="Times New Roman"/>
          <w:sz w:val="24"/>
        </w:rPr>
        <w:t>全国第四批农村物流服务品牌</w:t>
      </w:r>
      <w:r>
        <w:rPr>
          <w:rFonts w:hint="eastAsia" w:ascii="宋体" w:hAnsi="宋体" w:eastAsia="宋体" w:cs="Times New Roman"/>
          <w:sz w:val="24"/>
        </w:rPr>
        <w:t>。建成村级电商服务站点191个，成功搭建起区、镇、村三级电商服务网络。</w:t>
      </w:r>
      <w:r>
        <w:rPr>
          <w:rFonts w:ascii="宋体" w:hAnsi="宋体" w:eastAsia="宋体" w:cs="Times New Roman"/>
          <w:sz w:val="24"/>
        </w:rPr>
        <w:t>电子支付普及度高，金融服务进村入社区，</w:t>
      </w:r>
      <w:r>
        <w:rPr>
          <w:rFonts w:hint="eastAsia" w:ascii="宋体" w:hAnsi="宋体" w:eastAsia="宋体" w:cs="Times New Roman"/>
          <w:sz w:val="24"/>
        </w:rPr>
        <w:t>网上支付进万家</w:t>
      </w:r>
      <w:r>
        <w:rPr>
          <w:rFonts w:hint="eastAsia" w:ascii="宋体" w:hAnsi="宋体" w:eastAsia="宋体" w:cs="Times New Roman"/>
          <w:sz w:val="24"/>
          <w:lang w:eastAsia="zh-CN"/>
        </w:rPr>
        <w:t>。</w:t>
      </w:r>
    </w:p>
    <w:p w14:paraId="1C038F25">
      <w:pPr>
        <w:pStyle w:val="3"/>
        <w:rPr>
          <w:rFonts w:asciiTheme="minorEastAsia" w:hAnsiTheme="minorEastAsia" w:eastAsiaTheme="minorEastAsia"/>
          <w:sz w:val="28"/>
          <w:szCs w:val="28"/>
        </w:rPr>
      </w:pPr>
      <w:bookmarkStart w:id="2" w:name="_Toc183083264"/>
      <w:r>
        <w:rPr>
          <w:rFonts w:asciiTheme="minorEastAsia" w:hAnsiTheme="minorEastAsia" w:eastAsiaTheme="minorEastAsia"/>
          <w:sz w:val="28"/>
          <w:szCs w:val="28"/>
        </w:rPr>
        <w:t>二、发展成绩</w:t>
      </w:r>
      <w:bookmarkEnd w:id="2"/>
    </w:p>
    <w:p w14:paraId="2ECB03A5">
      <w:pPr>
        <w:pStyle w:val="4"/>
        <w:spacing w:before="120" w:after="120" w:line="360" w:lineRule="auto"/>
        <w:rPr>
          <w:sz w:val="24"/>
          <w:szCs w:val="24"/>
        </w:rPr>
      </w:pPr>
      <w:r>
        <w:rPr>
          <w:rFonts w:hint="eastAsia"/>
          <w:sz w:val="24"/>
          <w:szCs w:val="24"/>
        </w:rPr>
        <w:t>（</w:t>
      </w:r>
      <w:r>
        <w:rPr>
          <w:sz w:val="24"/>
          <w:szCs w:val="24"/>
        </w:rPr>
        <w:t>一</w:t>
      </w:r>
      <w:r>
        <w:rPr>
          <w:rFonts w:hint="eastAsia"/>
          <w:sz w:val="24"/>
          <w:szCs w:val="24"/>
        </w:rPr>
        <w:t>）</w:t>
      </w:r>
      <w:r>
        <w:rPr>
          <w:sz w:val="24"/>
          <w:szCs w:val="24"/>
        </w:rPr>
        <w:t>筑巢引凤，打造电商集群新高地</w:t>
      </w:r>
    </w:p>
    <w:p w14:paraId="20CCF04F">
      <w:pPr>
        <w:spacing w:line="360" w:lineRule="auto"/>
        <w:ind w:firstLine="480" w:firstLineChars="200"/>
        <w:rPr>
          <w:rFonts w:ascii="宋体" w:hAnsi="宋体" w:eastAsia="宋体" w:cs="Times New Roman"/>
          <w:sz w:val="24"/>
        </w:rPr>
      </w:pPr>
      <w:r>
        <w:rPr>
          <w:rFonts w:ascii="宋体" w:hAnsi="宋体" w:eastAsia="宋体" w:cs="Times New Roman"/>
          <w:sz w:val="24"/>
        </w:rPr>
        <w:t>十堰北数字电商中心</w:t>
      </w:r>
      <w:r>
        <w:rPr>
          <w:rFonts w:hint="eastAsia" w:ascii="宋体" w:hAnsi="宋体" w:eastAsia="宋体" w:cs="Times New Roman"/>
          <w:sz w:val="24"/>
        </w:rPr>
        <w:t>基础设施已初步完善，建成多个仓播直播间、类目直播间、共享绿幕直播间以及移动式仓播达人直播间</w:t>
      </w:r>
      <w:r>
        <w:rPr>
          <w:rFonts w:hint="eastAsia" w:ascii="宋体" w:hAnsi="宋体" w:eastAsia="宋体" w:cs="Times New Roman"/>
          <w:sz w:val="24"/>
          <w:lang w:eastAsia="zh-CN"/>
        </w:rPr>
        <w:t>。</w:t>
      </w:r>
      <w:r>
        <w:rPr>
          <w:rFonts w:hint="eastAsia" w:ascii="宋体" w:hAnsi="宋体" w:eastAsia="宋体" w:cs="Times New Roman"/>
          <w:sz w:val="24"/>
        </w:rPr>
        <w:t>加大电商人才培训，为中小微企业提供电商实训、代运营等一站式服务。</w:t>
      </w:r>
      <w:r>
        <w:rPr>
          <w:rFonts w:ascii="宋体" w:hAnsi="宋体" w:eastAsia="宋体" w:cs="Times New Roman"/>
          <w:sz w:val="24"/>
        </w:rPr>
        <w:t>湖北五小电子商务有限公司</w:t>
      </w:r>
      <w:r>
        <w:rPr>
          <w:rFonts w:hint="eastAsia" w:ascii="宋体" w:hAnsi="宋体" w:eastAsia="宋体" w:cs="Times New Roman"/>
          <w:sz w:val="24"/>
        </w:rPr>
        <w:t>、</w:t>
      </w:r>
      <w:r>
        <w:rPr>
          <w:rFonts w:ascii="宋体" w:hAnsi="宋体" w:eastAsia="宋体" w:cs="Times New Roman"/>
          <w:sz w:val="24"/>
        </w:rPr>
        <w:t>湖北郧祥电商科技有限公司</w:t>
      </w:r>
      <w:r>
        <w:rPr>
          <w:rFonts w:hint="eastAsia" w:ascii="宋体" w:hAnsi="宋体" w:eastAsia="宋体" w:cs="Times New Roman"/>
          <w:sz w:val="24"/>
        </w:rPr>
        <w:t>、</w:t>
      </w:r>
      <w:r>
        <w:rPr>
          <w:rFonts w:ascii="宋体" w:hAnsi="宋体" w:eastAsia="宋体" w:cs="Times New Roman"/>
          <w:sz w:val="24"/>
        </w:rPr>
        <w:t>十堰市三农通物流有限公司</w:t>
      </w:r>
      <w:r>
        <w:rPr>
          <w:rFonts w:hint="eastAsia" w:ascii="宋体" w:hAnsi="宋体" w:eastAsia="宋体" w:cs="Times New Roman"/>
          <w:sz w:val="24"/>
        </w:rPr>
        <w:t>、</w:t>
      </w:r>
      <w:r>
        <w:rPr>
          <w:rFonts w:ascii="宋体" w:hAnsi="宋体" w:eastAsia="宋体" w:cs="Times New Roman"/>
          <w:sz w:val="24"/>
        </w:rPr>
        <w:t>湖北云智堂职业培训有限公司</w:t>
      </w:r>
      <w:r>
        <w:rPr>
          <w:rFonts w:hint="eastAsia" w:ascii="宋体" w:hAnsi="宋体" w:eastAsia="宋体" w:cs="Times New Roman"/>
          <w:sz w:val="24"/>
        </w:rPr>
        <w:t>、</w:t>
      </w:r>
      <w:r>
        <w:rPr>
          <w:rFonts w:ascii="宋体" w:hAnsi="宋体" w:eastAsia="宋体" w:cs="Times New Roman"/>
          <w:sz w:val="24"/>
        </w:rPr>
        <w:t>湖北郧瑞农业科技有限公司、湖北家善农产品有限公司</w:t>
      </w:r>
      <w:r>
        <w:rPr>
          <w:rFonts w:hint="eastAsia" w:ascii="宋体" w:hAnsi="宋体" w:eastAsia="宋体" w:cs="Times New Roman"/>
          <w:sz w:val="24"/>
        </w:rPr>
        <w:t>等</w:t>
      </w:r>
      <w:r>
        <w:rPr>
          <w:rFonts w:ascii="宋体" w:hAnsi="宋体" w:eastAsia="宋体" w:cs="Times New Roman"/>
          <w:sz w:val="24"/>
        </w:rPr>
        <w:t>国有企业矩阵的组建，</w:t>
      </w:r>
      <w:r>
        <w:rPr>
          <w:rFonts w:hint="eastAsia" w:ascii="宋体" w:hAnsi="宋体" w:eastAsia="宋体" w:cs="Times New Roman"/>
          <w:sz w:val="24"/>
        </w:rPr>
        <w:t>从电商平台营销、产业投资、物流快递、人才培育、产业基础、网货化改造等方面精准发力，</w:t>
      </w:r>
      <w:r>
        <w:rPr>
          <w:rFonts w:ascii="宋体" w:hAnsi="宋体" w:eastAsia="宋体" w:cs="Times New Roman"/>
          <w:sz w:val="24"/>
        </w:rPr>
        <w:t>采用“电商+”和“国企+”的办法，全方位激发电商活力，形成了龙头引领、小微跟进的良性互动，促进资源高效整合与可持续发展。</w:t>
      </w:r>
      <w:r>
        <w:rPr>
          <w:rFonts w:hint="eastAsia" w:ascii="宋体" w:hAnsi="宋体" w:eastAsia="宋体" w:cs="Times New Roman"/>
          <w:sz w:val="24"/>
        </w:rPr>
        <w:t>依托昌欣香菇、鄂鲁淀粉、郧瑞农业等农产品龙头企业，建成香菇、薯粉、鸡蛋、鱼酸菜等农产品供应链中心12个，面积达20万平方米，</w:t>
      </w:r>
      <w:r>
        <w:rPr>
          <w:rFonts w:ascii="宋体" w:hAnsi="宋体" w:eastAsia="宋体" w:cs="Times New Roman"/>
          <w:sz w:val="24"/>
        </w:rPr>
        <w:t>为农产品的上行提供了有力支撑。</w:t>
      </w:r>
      <w:r>
        <w:rPr>
          <w:rFonts w:hint="eastAsia" w:ascii="宋体" w:hAnsi="宋体" w:eastAsia="宋体" w:cs="Times New Roman"/>
          <w:sz w:val="24"/>
        </w:rPr>
        <w:t>迦娜</w:t>
      </w:r>
      <w:r>
        <w:rPr>
          <w:rFonts w:ascii="宋体" w:hAnsi="宋体" w:eastAsia="宋体" w:cs="Times New Roman"/>
          <w:sz w:val="24"/>
        </w:rPr>
        <w:t>袜业荣获阿里巴巴金牌制造榜超级工厂称号，绿筷子公司成为</w:t>
      </w:r>
      <w:r>
        <w:rPr>
          <w:rFonts w:hint="eastAsia" w:ascii="宋体" w:hAnsi="宋体" w:eastAsia="宋体" w:cs="Times New Roman"/>
          <w:sz w:val="24"/>
        </w:rPr>
        <w:t>全市唯一获得</w:t>
      </w:r>
      <w:r>
        <w:rPr>
          <w:rFonts w:ascii="宋体" w:hAnsi="宋体" w:eastAsia="宋体" w:cs="Times New Roman"/>
          <w:sz w:val="24"/>
        </w:rPr>
        <w:t>海关“AEO”高级认证的农产品企业</w:t>
      </w:r>
      <w:r>
        <w:rPr>
          <w:rFonts w:hint="eastAsia" w:ascii="宋体" w:hAnsi="宋体" w:eastAsia="宋体" w:cs="Times New Roman"/>
          <w:sz w:val="24"/>
        </w:rPr>
        <w:t>，</w:t>
      </w:r>
      <w:r>
        <w:rPr>
          <w:rFonts w:ascii="宋体" w:hAnsi="宋体" w:eastAsia="宋体" w:cs="Times New Roman"/>
          <w:sz w:val="24"/>
        </w:rPr>
        <w:t>进一步彰显了郧阳电商的实力和影响力。</w:t>
      </w:r>
    </w:p>
    <w:p w14:paraId="08A8BD30">
      <w:pPr>
        <w:pStyle w:val="4"/>
        <w:spacing w:before="120" w:after="120" w:line="360" w:lineRule="auto"/>
        <w:rPr>
          <w:sz w:val="24"/>
          <w:szCs w:val="24"/>
        </w:rPr>
      </w:pPr>
      <w:r>
        <w:rPr>
          <w:rFonts w:hint="eastAsia"/>
          <w:sz w:val="24"/>
          <w:szCs w:val="24"/>
        </w:rPr>
        <w:t>（二）</w:t>
      </w:r>
      <w:r>
        <w:rPr>
          <w:sz w:val="24"/>
          <w:szCs w:val="24"/>
        </w:rPr>
        <w:t>畅通血脉，构建</w:t>
      </w:r>
      <w:r>
        <w:rPr>
          <w:rFonts w:hint="eastAsia"/>
          <w:sz w:val="24"/>
          <w:szCs w:val="24"/>
        </w:rPr>
        <w:t>产业对接</w:t>
      </w:r>
      <w:r>
        <w:rPr>
          <w:sz w:val="24"/>
          <w:szCs w:val="24"/>
        </w:rPr>
        <w:t>新体系</w:t>
      </w:r>
    </w:p>
    <w:p w14:paraId="1D01795C">
      <w:pPr>
        <w:spacing w:line="360" w:lineRule="auto"/>
        <w:ind w:firstLine="480" w:firstLineChars="200"/>
        <w:rPr>
          <w:rFonts w:ascii="宋体" w:hAnsi="宋体" w:eastAsia="宋体" w:cs="Times New Roman"/>
          <w:sz w:val="24"/>
        </w:rPr>
      </w:pPr>
      <w:r>
        <w:rPr>
          <w:rFonts w:ascii="宋体" w:hAnsi="宋体" w:eastAsia="宋体" w:cs="Times New Roman"/>
          <w:sz w:val="24"/>
        </w:rPr>
        <w:t>郧阳区积极探索“四网融合、一体联动”的物流模式，构建起</w:t>
      </w:r>
      <w:r>
        <w:rPr>
          <w:rFonts w:hint="eastAsia" w:ascii="宋体" w:hAnsi="宋体" w:eastAsia="宋体" w:cs="Times New Roman"/>
          <w:sz w:val="24"/>
        </w:rPr>
        <w:t>区</w:t>
      </w:r>
      <w:r>
        <w:rPr>
          <w:rFonts w:ascii="宋体" w:hAnsi="宋体" w:eastAsia="宋体" w:cs="Times New Roman"/>
          <w:sz w:val="24"/>
        </w:rPr>
        <w:t>、</w:t>
      </w:r>
      <w:r>
        <w:rPr>
          <w:rFonts w:hint="eastAsia" w:ascii="宋体" w:hAnsi="宋体" w:eastAsia="宋体" w:cs="Times New Roman"/>
          <w:sz w:val="24"/>
        </w:rPr>
        <w:t>镇</w:t>
      </w:r>
      <w:r>
        <w:rPr>
          <w:rFonts w:ascii="宋体" w:hAnsi="宋体" w:eastAsia="宋体" w:cs="Times New Roman"/>
          <w:sz w:val="24"/>
        </w:rPr>
        <w:t>、村三级物流网络</w:t>
      </w:r>
      <w:r>
        <w:rPr>
          <w:rFonts w:hint="eastAsia" w:ascii="宋体" w:hAnsi="宋体" w:eastAsia="宋体" w:cs="Times New Roman"/>
          <w:sz w:val="24"/>
        </w:rPr>
        <w:t>，建立了以十堰市泰通物流有限公司、中国邮政郧阳分公司、十堰亨</w:t>
      </w:r>
      <w:r>
        <w:rPr>
          <w:rFonts w:ascii="宋体" w:hAnsi="宋体" w:eastAsia="宋体" w:cs="Times New Roman"/>
          <w:sz w:val="24"/>
        </w:rPr>
        <w:t>壹</w:t>
      </w:r>
      <w:r>
        <w:rPr>
          <w:rFonts w:hint="eastAsia" w:ascii="宋体" w:hAnsi="宋体" w:eastAsia="宋体" w:cs="Times New Roman"/>
          <w:sz w:val="24"/>
        </w:rPr>
        <w:t>物流有限公司郧阳分公司为核心的区物流分拣中心，已经建成2条自动化智能分拣线，日分拣处理能力可达17万件</w:t>
      </w:r>
      <w:r>
        <w:rPr>
          <w:rFonts w:ascii="宋体" w:hAnsi="宋体" w:eastAsia="宋体" w:cs="Times New Roman"/>
          <w:sz w:val="24"/>
        </w:rPr>
        <w:t>。</w:t>
      </w:r>
      <w:r>
        <w:rPr>
          <w:rFonts w:hint="eastAsia" w:ascii="宋体" w:hAnsi="宋体" w:eastAsia="宋体" w:cs="Times New Roman"/>
          <w:sz w:val="24"/>
        </w:rPr>
        <w:t>围绕电商销售环节中的包装、分拣、仓储、快递、客服、运营等环节，谋划在本地发展包装制作、分拣仓储、快递物流、客服外包、电商运营等供应链服务产业，推动电商服务产业在本地集聚发展。大力支持在北京、深圳、山东、西安、武汉等地合作建设云仓供应链、线下体验店，全面拓展线上、线下渠道，开展国内、外业务，</w:t>
      </w:r>
      <w:r>
        <w:rPr>
          <w:rFonts w:ascii="宋体" w:hAnsi="宋体" w:eastAsia="宋体" w:cs="Times New Roman"/>
          <w:sz w:val="24"/>
        </w:rPr>
        <w:t>让郧阳产品畅销国内外，</w:t>
      </w:r>
      <w:r>
        <w:rPr>
          <w:rFonts w:hint="eastAsia" w:ascii="宋体" w:hAnsi="宋体" w:eastAsia="宋体" w:cs="Times New Roman"/>
          <w:sz w:val="24"/>
        </w:rPr>
        <w:t>形成符合当地特征的电商产业生态链。</w:t>
      </w:r>
    </w:p>
    <w:p w14:paraId="3A70D7A2">
      <w:pPr>
        <w:pStyle w:val="4"/>
        <w:spacing w:before="120" w:after="120" w:line="360" w:lineRule="auto"/>
        <w:rPr>
          <w:sz w:val="24"/>
          <w:szCs w:val="24"/>
        </w:rPr>
      </w:pPr>
      <w:r>
        <w:rPr>
          <w:rFonts w:hint="eastAsia"/>
          <w:sz w:val="24"/>
          <w:szCs w:val="24"/>
        </w:rPr>
        <w:t>（三）</w:t>
      </w:r>
      <w:r>
        <w:rPr>
          <w:sz w:val="24"/>
          <w:szCs w:val="24"/>
        </w:rPr>
        <w:t>多元</w:t>
      </w:r>
      <w:r>
        <w:rPr>
          <w:rFonts w:hint="eastAsia"/>
          <w:sz w:val="24"/>
          <w:szCs w:val="24"/>
        </w:rPr>
        <w:t>发展</w:t>
      </w:r>
      <w:r>
        <w:rPr>
          <w:sz w:val="24"/>
          <w:szCs w:val="24"/>
        </w:rPr>
        <w:t>，搭建</w:t>
      </w:r>
      <w:r>
        <w:rPr>
          <w:rFonts w:hint="eastAsia"/>
          <w:sz w:val="24"/>
          <w:szCs w:val="24"/>
        </w:rPr>
        <w:t>公共</w:t>
      </w:r>
      <w:r>
        <w:rPr>
          <w:sz w:val="24"/>
          <w:szCs w:val="24"/>
        </w:rPr>
        <w:t>服务</w:t>
      </w:r>
      <w:r>
        <w:rPr>
          <w:rFonts w:hint="eastAsia"/>
          <w:sz w:val="24"/>
          <w:szCs w:val="24"/>
        </w:rPr>
        <w:t>新</w:t>
      </w:r>
      <w:r>
        <w:rPr>
          <w:sz w:val="24"/>
          <w:szCs w:val="24"/>
        </w:rPr>
        <w:t>平台</w:t>
      </w:r>
    </w:p>
    <w:p w14:paraId="00BAC738">
      <w:pPr>
        <w:spacing w:line="360" w:lineRule="auto"/>
        <w:ind w:firstLine="480" w:firstLineChars="200"/>
        <w:rPr>
          <w:rFonts w:ascii="宋体" w:hAnsi="宋体" w:eastAsia="宋体" w:cs="Times New Roman"/>
          <w:sz w:val="24"/>
        </w:rPr>
      </w:pPr>
      <w:r>
        <w:rPr>
          <w:rFonts w:ascii="宋体" w:hAnsi="宋体" w:eastAsia="宋体" w:cs="Times New Roman"/>
          <w:sz w:val="24"/>
        </w:rPr>
        <w:t>郧阳区</w:t>
      </w:r>
      <w:r>
        <w:rPr>
          <w:rFonts w:hint="eastAsia" w:ascii="宋体" w:hAnsi="宋体" w:eastAsia="宋体" w:cs="Times New Roman"/>
          <w:sz w:val="24"/>
        </w:rPr>
        <w:t>正</w:t>
      </w:r>
      <w:r>
        <w:rPr>
          <w:rFonts w:ascii="宋体" w:hAnsi="宋体" w:eastAsia="宋体" w:cs="Times New Roman"/>
          <w:sz w:val="24"/>
        </w:rPr>
        <w:t>以十堰北数字电商中心为引擎，推动“一中心</w:t>
      </w:r>
      <w:r>
        <w:rPr>
          <w:rFonts w:hint="eastAsia" w:ascii="宋体" w:hAnsi="宋体" w:eastAsia="宋体" w:cs="Times New Roman"/>
          <w:sz w:val="24"/>
        </w:rPr>
        <w:t>、</w:t>
      </w:r>
      <w:r>
        <w:rPr>
          <w:rFonts w:ascii="宋体" w:hAnsi="宋体" w:eastAsia="宋体" w:cs="Times New Roman"/>
          <w:sz w:val="24"/>
        </w:rPr>
        <w:t>多阵地</w:t>
      </w:r>
      <w:r>
        <w:rPr>
          <w:rFonts w:hint="eastAsia" w:ascii="宋体" w:hAnsi="宋体" w:eastAsia="宋体" w:cs="Times New Roman"/>
          <w:sz w:val="24"/>
        </w:rPr>
        <w:t>、</w:t>
      </w:r>
      <w:r>
        <w:rPr>
          <w:rFonts w:ascii="宋体" w:hAnsi="宋体" w:eastAsia="宋体" w:cs="Times New Roman"/>
          <w:sz w:val="24"/>
        </w:rPr>
        <w:t>四播联动”功能布局，</w:t>
      </w:r>
      <w:r>
        <w:rPr>
          <w:rFonts w:hint="eastAsia" w:ascii="宋体" w:hAnsi="宋体" w:eastAsia="宋体" w:cs="Times New Roman"/>
          <w:sz w:val="24"/>
        </w:rPr>
        <w:t>推进传统电商、社群电商、直播电商、跨境电商“四个电商”和B2C、B2B、B2G、B2T、O2O“五个模式”实现突破性发展。</w:t>
      </w:r>
      <w:r>
        <w:rPr>
          <w:rFonts w:ascii="宋体" w:hAnsi="宋体" w:eastAsia="宋体" w:cs="Times New Roman"/>
          <w:sz w:val="24"/>
        </w:rPr>
        <w:t>通过电商平台拓展、直播带货、央视连麦等多元化营销手段，累计举办直播带货、促销活动千余场，推动农产品线上销售过亿元</w:t>
      </w:r>
      <w:r>
        <w:rPr>
          <w:rFonts w:hint="eastAsia" w:ascii="宋体" w:hAnsi="宋体" w:eastAsia="宋体" w:cs="Times New Roman"/>
          <w:sz w:val="24"/>
        </w:rPr>
        <w:t>，</w:t>
      </w:r>
      <w:r>
        <w:rPr>
          <w:rFonts w:ascii="宋体" w:hAnsi="宋体" w:eastAsia="宋体" w:cs="Times New Roman"/>
          <w:sz w:val="24"/>
        </w:rPr>
        <w:t>提升了郧阳电商的品牌知名度和市场占有率。积极推进电商主体的多元化发展，全区电子商务普及程度显著提升，应用水平大幅提高，集聚发展态势明显，市场辐射力明显增强，逐步建立</w:t>
      </w:r>
      <w:r>
        <w:rPr>
          <w:rFonts w:hint="eastAsia" w:ascii="宋体" w:hAnsi="宋体" w:eastAsia="宋体" w:cs="Times New Roman"/>
          <w:sz w:val="24"/>
          <w:lang w:val="en-US" w:eastAsia="zh-CN"/>
        </w:rPr>
        <w:t>了</w:t>
      </w:r>
      <w:r>
        <w:rPr>
          <w:rFonts w:ascii="宋体" w:hAnsi="宋体" w:eastAsia="宋体" w:cs="Times New Roman"/>
          <w:sz w:val="24"/>
        </w:rPr>
        <w:t>政府、企业、农户、直播达人、各类组织等多方参与的电商服务体系。</w:t>
      </w:r>
    </w:p>
    <w:p w14:paraId="57AAB1CF">
      <w:pPr>
        <w:pStyle w:val="4"/>
        <w:spacing w:before="120" w:after="120" w:line="360" w:lineRule="auto"/>
        <w:rPr>
          <w:sz w:val="24"/>
          <w:szCs w:val="24"/>
        </w:rPr>
      </w:pPr>
      <w:r>
        <w:rPr>
          <w:rFonts w:hint="eastAsia"/>
          <w:sz w:val="24"/>
          <w:szCs w:val="24"/>
        </w:rPr>
        <w:t>（四）</w:t>
      </w:r>
      <w:r>
        <w:rPr>
          <w:sz w:val="24"/>
          <w:szCs w:val="24"/>
        </w:rPr>
        <w:t>育才为本，</w:t>
      </w:r>
      <w:r>
        <w:rPr>
          <w:rFonts w:hint="eastAsia"/>
          <w:sz w:val="24"/>
          <w:szCs w:val="24"/>
        </w:rPr>
        <w:t>激发</w:t>
      </w:r>
      <w:r>
        <w:rPr>
          <w:sz w:val="24"/>
          <w:szCs w:val="24"/>
        </w:rPr>
        <w:t>电商人才</w:t>
      </w:r>
      <w:r>
        <w:rPr>
          <w:rFonts w:hint="eastAsia"/>
          <w:sz w:val="24"/>
          <w:szCs w:val="24"/>
        </w:rPr>
        <w:t>新活力</w:t>
      </w:r>
    </w:p>
    <w:p w14:paraId="3E057825">
      <w:pPr>
        <w:spacing w:line="360" w:lineRule="auto"/>
        <w:ind w:firstLine="480" w:firstLineChars="200"/>
        <w:rPr>
          <w:rFonts w:ascii="宋体" w:hAnsi="宋体" w:eastAsia="宋体" w:cs="Times New Roman"/>
          <w:sz w:val="24"/>
        </w:rPr>
      </w:pPr>
      <w:r>
        <w:rPr>
          <w:rFonts w:ascii="宋体" w:hAnsi="宋体" w:eastAsia="宋体" w:cs="Times New Roman"/>
          <w:sz w:val="24"/>
        </w:rPr>
        <w:t>郧阳区高度重视电商人才的培养和引进工作，采取多样化方式开展电商人才培训。</w:t>
      </w:r>
      <w:r>
        <w:rPr>
          <w:rFonts w:hint="eastAsia" w:ascii="宋体" w:hAnsi="宋体" w:eastAsia="宋体" w:cs="Times New Roman"/>
          <w:sz w:val="24"/>
        </w:rPr>
        <w:t>统筹商务、人社、农业农村、残联、工青妇等众多部门资源，采取引、训、秀、赛多样化方式，重点针对返乡人才、村两委干部、退伍军人、待业妇女、残疾人等人群，开展电商创业、新型职业农民、站点运营人才等电商人才培训、直播带货培训。三年来共培训电商人才11类、122场、10096人次，成功打造了谭家湾镇独臂青年“孔雀平哥”、杨溪铺镇“蜂蜜姐”杨冬梅等</w:t>
      </w:r>
      <w:r>
        <w:rPr>
          <w:rFonts w:ascii="宋体" w:hAnsi="宋体" w:eastAsia="宋体" w:cs="Times New Roman"/>
          <w:sz w:val="24"/>
        </w:rPr>
        <w:t>新型职业农民</w:t>
      </w:r>
      <w:r>
        <w:rPr>
          <w:rFonts w:hint="eastAsia" w:ascii="宋体" w:hAnsi="宋体" w:eastAsia="宋体" w:cs="Times New Roman"/>
          <w:sz w:val="24"/>
        </w:rPr>
        <w:t>，培养了王金霞、高安胜等电商助农领军人才。</w:t>
      </w:r>
      <w:r>
        <w:rPr>
          <w:rFonts w:ascii="宋体" w:hAnsi="宋体" w:eastAsia="宋体" w:cs="Times New Roman"/>
          <w:sz w:val="24"/>
        </w:rPr>
        <w:t>通过精准培训，不仅提升了本地电商人才的专业技能，也为郧阳电商的发展注入了新的活力和动力。</w:t>
      </w:r>
    </w:p>
    <w:p w14:paraId="399BE6ED">
      <w:pPr>
        <w:pStyle w:val="4"/>
        <w:spacing w:before="120" w:after="120" w:line="360" w:lineRule="auto"/>
        <w:rPr>
          <w:sz w:val="24"/>
          <w:szCs w:val="24"/>
        </w:rPr>
      </w:pPr>
      <w:r>
        <w:rPr>
          <w:rFonts w:hint="eastAsia"/>
          <w:sz w:val="24"/>
          <w:szCs w:val="24"/>
        </w:rPr>
        <w:t>（五）</w:t>
      </w:r>
      <w:r>
        <w:rPr>
          <w:sz w:val="24"/>
          <w:szCs w:val="24"/>
        </w:rPr>
        <w:t>协同发展，深化协会</w:t>
      </w:r>
      <w:r>
        <w:rPr>
          <w:rFonts w:hint="eastAsia"/>
          <w:sz w:val="24"/>
          <w:szCs w:val="24"/>
        </w:rPr>
        <w:t>组织新动力</w:t>
      </w:r>
    </w:p>
    <w:p w14:paraId="1D7E58C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郧阳区先后成立了</w:t>
      </w:r>
      <w:r>
        <w:rPr>
          <w:rFonts w:ascii="宋体" w:hAnsi="宋体" w:eastAsia="宋体" w:cs="Times New Roman"/>
          <w:sz w:val="24"/>
        </w:rPr>
        <w:t>电子商务协会</w:t>
      </w:r>
      <w:r>
        <w:rPr>
          <w:rFonts w:hint="eastAsia" w:ascii="宋体" w:hAnsi="宋体" w:eastAsia="宋体" w:cs="Times New Roman"/>
          <w:sz w:val="24"/>
        </w:rPr>
        <w:t>、</w:t>
      </w:r>
      <w:r>
        <w:rPr>
          <w:rFonts w:ascii="宋体" w:hAnsi="宋体" w:eastAsia="宋体" w:cs="Times New Roman"/>
          <w:sz w:val="24"/>
        </w:rPr>
        <w:t>袜业协会</w:t>
      </w:r>
      <w:r>
        <w:rPr>
          <w:rFonts w:hint="eastAsia" w:ascii="宋体" w:hAnsi="宋体" w:eastAsia="宋体" w:cs="Times New Roman"/>
          <w:sz w:val="24"/>
        </w:rPr>
        <w:t>、食用菌产业发展联盟、黄酒协会、油橄榄协会、物流协会、</w:t>
      </w:r>
      <w:r>
        <w:rPr>
          <w:rFonts w:ascii="宋体" w:hAnsi="宋体" w:eastAsia="宋体" w:cs="Times New Roman"/>
          <w:sz w:val="24"/>
        </w:rPr>
        <w:t>自媒体协会</w:t>
      </w:r>
      <w:r>
        <w:rPr>
          <w:rFonts w:hint="eastAsia" w:ascii="宋体" w:hAnsi="宋体" w:eastAsia="宋体" w:cs="Times New Roman"/>
          <w:sz w:val="24"/>
        </w:rPr>
        <w:t>等行业组织。</w:t>
      </w:r>
      <w:r>
        <w:rPr>
          <w:rFonts w:ascii="宋体" w:hAnsi="宋体" w:eastAsia="宋体" w:cs="Times New Roman"/>
          <w:sz w:val="24"/>
        </w:rPr>
        <w:t>电子商务协会</w:t>
      </w:r>
      <w:r>
        <w:rPr>
          <w:rFonts w:hint="eastAsia" w:ascii="宋体" w:hAnsi="宋体" w:eastAsia="宋体" w:cs="Times New Roman"/>
          <w:sz w:val="24"/>
        </w:rPr>
        <w:t>目前已有70家会员企业加盟，不乏湖北五小电商有限公司、十堰市郧阳区龙凤祥郧电商物流产业投资有限公司、中国邮政集团公司十堰市郧阳区分公司等龙头企业，涵盖了核桃、物流、茶叶、黄酒等各类产业。</w:t>
      </w:r>
      <w:r>
        <w:rPr>
          <w:rFonts w:ascii="宋体" w:hAnsi="宋体" w:eastAsia="宋体" w:cs="Times New Roman"/>
          <w:sz w:val="24"/>
        </w:rPr>
        <w:t>自媒体协会由全区自媒体个体运营者、正能量网络大V、新媒体从业人员等新就业群体组建，首批注册成员达50余名。通过深化协会组织的协同发展，整合资源、汇聚力量，为郧阳区的</w:t>
      </w:r>
      <w:r>
        <w:rPr>
          <w:rFonts w:hint="eastAsia" w:ascii="宋体" w:hAnsi="宋体" w:eastAsia="宋体" w:cs="Times New Roman"/>
          <w:sz w:val="24"/>
        </w:rPr>
        <w:t>电子商务</w:t>
      </w:r>
      <w:r>
        <w:rPr>
          <w:rFonts w:ascii="宋体" w:hAnsi="宋体" w:eastAsia="宋体" w:cs="Times New Roman"/>
          <w:sz w:val="24"/>
        </w:rPr>
        <w:t>发展注入新的动力。</w:t>
      </w:r>
    </w:p>
    <w:p w14:paraId="0166748A">
      <w:pPr>
        <w:pStyle w:val="4"/>
        <w:spacing w:before="120" w:after="120" w:line="360" w:lineRule="auto"/>
        <w:rPr>
          <w:sz w:val="24"/>
          <w:szCs w:val="24"/>
        </w:rPr>
      </w:pPr>
      <w:r>
        <w:rPr>
          <w:rFonts w:hint="eastAsia"/>
          <w:sz w:val="24"/>
          <w:szCs w:val="24"/>
        </w:rPr>
        <w:t>（六）</w:t>
      </w:r>
      <w:r>
        <w:rPr>
          <w:sz w:val="24"/>
          <w:szCs w:val="24"/>
        </w:rPr>
        <w:t>助力振兴，筑牢脱贫攻坚</w:t>
      </w:r>
      <w:r>
        <w:rPr>
          <w:rFonts w:hint="eastAsia"/>
          <w:sz w:val="24"/>
          <w:szCs w:val="24"/>
        </w:rPr>
        <w:t>新</w:t>
      </w:r>
      <w:r>
        <w:rPr>
          <w:sz w:val="24"/>
          <w:szCs w:val="24"/>
        </w:rPr>
        <w:t>机制</w:t>
      </w:r>
    </w:p>
    <w:p w14:paraId="59203686">
      <w:pPr>
        <w:spacing w:line="360" w:lineRule="auto"/>
        <w:ind w:firstLine="480" w:firstLineChars="200"/>
        <w:rPr>
          <w:rFonts w:ascii="宋体" w:hAnsi="宋体" w:eastAsia="宋体" w:cs="Times New Roman"/>
          <w:sz w:val="24"/>
        </w:rPr>
      </w:pPr>
      <w:r>
        <w:rPr>
          <w:rFonts w:ascii="宋体" w:hAnsi="宋体" w:eastAsia="宋体" w:cs="Times New Roman"/>
          <w:sz w:val="24"/>
        </w:rPr>
        <w:t>郧阳区始终坚持以人民为中心</w:t>
      </w:r>
      <w:r>
        <w:rPr>
          <w:rFonts w:hint="eastAsia" w:ascii="宋体" w:hAnsi="宋体" w:eastAsia="宋体" w:cs="Times New Roman"/>
          <w:sz w:val="24"/>
        </w:rPr>
        <w:t>，</w:t>
      </w:r>
      <w:r>
        <w:rPr>
          <w:rFonts w:ascii="宋体" w:hAnsi="宋体" w:eastAsia="宋体" w:cs="Times New Roman"/>
          <w:sz w:val="24"/>
        </w:rPr>
        <w:t>将电商发展与脱贫攻坚紧密结合起来</w:t>
      </w:r>
      <w:r>
        <w:rPr>
          <w:rFonts w:hint="eastAsia" w:ascii="宋体" w:hAnsi="宋体" w:eastAsia="宋体" w:cs="Times New Roman"/>
          <w:sz w:val="24"/>
        </w:rPr>
        <w:t>，</w:t>
      </w:r>
      <w:r>
        <w:rPr>
          <w:rFonts w:ascii="宋体" w:hAnsi="宋体" w:eastAsia="宋体" w:cs="Times New Roman"/>
          <w:sz w:val="24"/>
        </w:rPr>
        <w:t>以电商为引擎，</w:t>
      </w:r>
      <w:r>
        <w:rPr>
          <w:rFonts w:hint="eastAsia" w:ascii="宋体" w:hAnsi="宋体" w:eastAsia="宋体" w:cs="Times New Roman"/>
          <w:sz w:val="24"/>
        </w:rPr>
        <w:t>初步探索出“政府扶持强力推动、商贸企业转型驱动、物流企业整合带动、新生力量双创舞动、农工旅网商产销联动”的郧阳特色农村电商工作模式，支持相关企业和农产品经销主体在832平台、中国社会扶贫网、农商行、建行善融等开设平台店铺，销售以香菇、红薯粉条、药用木瓜等为主导产业的70余种消费扶贫产品。特别是</w:t>
      </w:r>
      <w:r>
        <w:rPr>
          <w:rFonts w:ascii="宋体" w:hAnsi="宋体" w:eastAsia="宋体" w:cs="Times New Roman"/>
          <w:sz w:val="24"/>
        </w:rPr>
        <w:t>依托线上+线下零工驿站及零工超市等平台，形成了“线上+线下”全方位、多渠道、多类型</w:t>
      </w:r>
      <w:r>
        <w:rPr>
          <w:rFonts w:hint="eastAsia" w:ascii="宋体" w:hAnsi="宋体" w:eastAsia="宋体" w:cs="Times New Roman"/>
          <w:sz w:val="24"/>
        </w:rPr>
        <w:t>的创新型</w:t>
      </w:r>
      <w:r>
        <w:rPr>
          <w:rFonts w:ascii="宋体" w:hAnsi="宋体" w:eastAsia="宋体" w:cs="Times New Roman"/>
          <w:sz w:val="24"/>
        </w:rPr>
        <w:t>零工驿站服务模式，</w:t>
      </w:r>
      <w:r>
        <w:rPr>
          <w:rFonts w:hint="eastAsia" w:ascii="宋体" w:hAnsi="宋体" w:eastAsia="宋体" w:cs="Times New Roman"/>
          <w:sz w:val="24"/>
        </w:rPr>
        <w:t>依据</w:t>
      </w:r>
      <w:r>
        <w:rPr>
          <w:rFonts w:ascii="宋体" w:hAnsi="宋体" w:eastAsia="宋体" w:cs="Times New Roman"/>
          <w:sz w:val="24"/>
        </w:rPr>
        <w:t>劳动者自身技能及时间安排务工，</w:t>
      </w:r>
      <w:r>
        <w:rPr>
          <w:rFonts w:hint="eastAsia" w:ascii="宋体" w:hAnsi="宋体" w:eastAsia="宋体" w:cs="Times New Roman"/>
          <w:sz w:val="24"/>
        </w:rPr>
        <w:t>打造了巩固脱贫攻坚成果的新样板，塑造了移民易地搬迁生活新乐园，被湖北日报等多家媒体报道，影响广泛。</w:t>
      </w:r>
    </w:p>
    <w:p w14:paraId="09220E0A">
      <w:pPr>
        <w:pStyle w:val="3"/>
        <w:rPr>
          <w:rFonts w:asciiTheme="minorEastAsia" w:hAnsiTheme="minorEastAsia" w:eastAsiaTheme="minorEastAsia"/>
          <w:sz w:val="28"/>
          <w:szCs w:val="28"/>
        </w:rPr>
      </w:pPr>
      <w:bookmarkStart w:id="3" w:name="_Toc183083265"/>
      <w:r>
        <w:rPr>
          <w:rFonts w:asciiTheme="minorEastAsia" w:hAnsiTheme="minorEastAsia" w:eastAsiaTheme="minorEastAsia"/>
          <w:sz w:val="28"/>
          <w:szCs w:val="28"/>
        </w:rPr>
        <w:t>三、存在问题</w:t>
      </w:r>
      <w:bookmarkEnd w:id="3"/>
    </w:p>
    <w:p w14:paraId="7A2D7A6B">
      <w:pPr>
        <w:pStyle w:val="4"/>
        <w:spacing w:before="120" w:after="120" w:line="360" w:lineRule="auto"/>
        <w:rPr>
          <w:sz w:val="24"/>
          <w:szCs w:val="24"/>
        </w:rPr>
      </w:pPr>
      <w:r>
        <w:rPr>
          <w:sz w:val="24"/>
          <w:szCs w:val="24"/>
        </w:rPr>
        <w:t>（</w:t>
      </w:r>
      <w:r>
        <w:rPr>
          <w:rFonts w:hint="eastAsia"/>
          <w:sz w:val="24"/>
          <w:szCs w:val="24"/>
        </w:rPr>
        <w:t>一</w:t>
      </w:r>
      <w:r>
        <w:rPr>
          <w:sz w:val="24"/>
          <w:szCs w:val="24"/>
        </w:rPr>
        <w:t>）电商中心引领作用待强化</w:t>
      </w:r>
    </w:p>
    <w:p w14:paraId="217A85A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目前，十堰北数字电子商务中心运行良好，但总体来看，入驻企业不多、园区还处于建设之中，缺少大企业的引领与项目的集聚。在为电商从业主体提供认证、咨询、软件、代运营、用户体验设计、数据挖掘与分析等专业服务的机构数量与质量方面，与发展成熟的电商产业园相比，具有一定差距，其发展尚处于初中级阶段，难以形成有效的市场竞争力与产业集聚优势。</w:t>
      </w:r>
    </w:p>
    <w:p w14:paraId="706D69E1">
      <w:pPr>
        <w:pStyle w:val="4"/>
        <w:spacing w:before="120" w:after="120" w:line="360" w:lineRule="auto"/>
        <w:rPr>
          <w:sz w:val="24"/>
          <w:szCs w:val="24"/>
        </w:rPr>
      </w:pPr>
      <w:r>
        <w:rPr>
          <w:sz w:val="24"/>
          <w:szCs w:val="24"/>
        </w:rPr>
        <w:t>（</w:t>
      </w:r>
      <w:r>
        <w:rPr>
          <w:rFonts w:hint="eastAsia"/>
          <w:sz w:val="24"/>
          <w:szCs w:val="24"/>
        </w:rPr>
        <w:t>二</w:t>
      </w:r>
      <w:r>
        <w:rPr>
          <w:sz w:val="24"/>
          <w:szCs w:val="24"/>
        </w:rPr>
        <w:t>）电商专业人才队伍待壮大</w:t>
      </w:r>
    </w:p>
    <w:p w14:paraId="5B64058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由于被地理位置、社会福利、薪资待遇、产业环境等方面的相对劣势所限制，郧阳区在吸引电商专业人才方面面临一定的挑战。</w:t>
      </w:r>
      <w:r>
        <w:rPr>
          <w:rFonts w:ascii="宋体" w:hAnsi="宋体" w:eastAsia="宋体" w:cs="Times New Roman"/>
          <w:sz w:val="24"/>
        </w:rPr>
        <w:t>尽管已有一定的电商人才基础，但相对于快速发展的电商产业，人才队伍仍显不足</w:t>
      </w:r>
      <w:r>
        <w:rPr>
          <w:rFonts w:hint="eastAsia" w:ascii="宋体" w:hAnsi="宋体" w:eastAsia="宋体" w:cs="Times New Roman"/>
          <w:sz w:val="24"/>
        </w:rPr>
        <w:t>，特别是</w:t>
      </w:r>
      <w:r>
        <w:rPr>
          <w:rFonts w:ascii="宋体" w:hAnsi="宋体" w:eastAsia="宋体" w:cs="Times New Roman"/>
          <w:sz w:val="24"/>
        </w:rPr>
        <w:t>高端电商人才、复合型电商人才以及具有创新能力的电商人才相对匮乏</w:t>
      </w:r>
      <w:r>
        <w:rPr>
          <w:rFonts w:hint="eastAsia" w:ascii="宋体" w:hAnsi="宋体" w:eastAsia="宋体" w:cs="Times New Roman"/>
          <w:sz w:val="24"/>
        </w:rPr>
        <w:t>，严重影响电商企业的业务拓展，成为制约郧阳区电商发展壮大的瓶颈。</w:t>
      </w:r>
    </w:p>
    <w:p w14:paraId="1FFE5DBA">
      <w:pPr>
        <w:pStyle w:val="4"/>
        <w:spacing w:before="120" w:after="120" w:line="360" w:lineRule="auto"/>
        <w:rPr>
          <w:sz w:val="24"/>
          <w:szCs w:val="24"/>
        </w:rPr>
      </w:pPr>
      <w:r>
        <w:rPr>
          <w:sz w:val="24"/>
          <w:szCs w:val="24"/>
        </w:rPr>
        <w:t>（</w:t>
      </w:r>
      <w:r>
        <w:rPr>
          <w:rFonts w:hint="eastAsia"/>
          <w:sz w:val="24"/>
          <w:szCs w:val="24"/>
        </w:rPr>
        <w:t>三</w:t>
      </w:r>
      <w:r>
        <w:rPr>
          <w:sz w:val="24"/>
          <w:szCs w:val="24"/>
        </w:rPr>
        <w:t>）农特产品电商品牌待</w:t>
      </w:r>
      <w:r>
        <w:rPr>
          <w:rFonts w:hint="eastAsia"/>
          <w:sz w:val="24"/>
          <w:szCs w:val="24"/>
        </w:rPr>
        <w:t>点燃</w:t>
      </w:r>
    </w:p>
    <w:p w14:paraId="5917AB5F">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郧阳区自然资源丰富，农特产品种类繁多，具备良好的电商发展潜质，但本土品牌的知名度、影响力较低，知名公共品牌、产品品牌缺乏，品牌运作“小而散”，无法发挥品牌效应来提升产品附加值与竞争力。个体户生产的农产品缺少商标和质量追溯体系，无法形成集群效应，使得农产品的品牌、包装、质量、营销等都很难实现标准化，导致地方特色农产品上行困难。</w:t>
      </w:r>
    </w:p>
    <w:p w14:paraId="56913043">
      <w:pPr>
        <w:pStyle w:val="4"/>
        <w:spacing w:before="120" w:after="120" w:line="360" w:lineRule="auto"/>
        <w:rPr>
          <w:sz w:val="24"/>
          <w:szCs w:val="24"/>
        </w:rPr>
      </w:pPr>
      <w:r>
        <w:rPr>
          <w:sz w:val="24"/>
          <w:szCs w:val="24"/>
        </w:rPr>
        <w:t>（</w:t>
      </w:r>
      <w:r>
        <w:rPr>
          <w:rFonts w:hint="eastAsia"/>
          <w:sz w:val="24"/>
          <w:szCs w:val="24"/>
        </w:rPr>
        <w:t>四</w:t>
      </w:r>
      <w:r>
        <w:rPr>
          <w:sz w:val="24"/>
          <w:szCs w:val="24"/>
        </w:rPr>
        <w:t>）电商</w:t>
      </w:r>
      <w:r>
        <w:rPr>
          <w:rFonts w:hint="eastAsia"/>
          <w:sz w:val="24"/>
          <w:szCs w:val="24"/>
        </w:rPr>
        <w:t>市场主体培育</w:t>
      </w:r>
      <w:r>
        <w:rPr>
          <w:sz w:val="24"/>
          <w:szCs w:val="24"/>
        </w:rPr>
        <w:t>待加强</w:t>
      </w:r>
    </w:p>
    <w:p w14:paraId="170E6E0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郧阳区电商产业仍处于成长阶段，已围绕湖北五小电子商务有限公司形成</w:t>
      </w:r>
      <w:r>
        <w:rPr>
          <w:rFonts w:hint="eastAsia" w:ascii="宋体" w:hAnsi="宋体" w:eastAsia="宋体" w:cs="Times New Roman"/>
          <w:sz w:val="24"/>
          <w:lang w:val="en-US" w:eastAsia="zh-CN"/>
        </w:rPr>
        <w:t>了</w:t>
      </w:r>
      <w:r>
        <w:rPr>
          <w:rFonts w:hint="eastAsia" w:ascii="宋体" w:hAnsi="宋体" w:eastAsia="宋体" w:cs="Times New Roman"/>
          <w:sz w:val="24"/>
        </w:rPr>
        <w:t>较为完整的“人货场”，少部分关联企业实现了“大树底下好乘凉”，但也要防止“大树底下不长草”。探索电商发展的主力军是中小企业和个人创业者，多数停留在网上卖货的生存层面，规模小、合作意识不强，市场竞争力有限，难以形成规模效应和良性竞争。主导产业企业尚未大力发展电子商务，产业规模、企业质量暂未体现出数字经济特有优势。</w:t>
      </w:r>
    </w:p>
    <w:p w14:paraId="0BB6AD29">
      <w:pPr>
        <w:pStyle w:val="4"/>
        <w:spacing w:before="120" w:after="120" w:line="360" w:lineRule="auto"/>
        <w:rPr>
          <w:sz w:val="24"/>
          <w:szCs w:val="24"/>
        </w:rPr>
      </w:pPr>
      <w:r>
        <w:rPr>
          <w:sz w:val="24"/>
          <w:szCs w:val="24"/>
        </w:rPr>
        <w:t>（</w:t>
      </w:r>
      <w:r>
        <w:rPr>
          <w:rFonts w:hint="eastAsia"/>
          <w:sz w:val="24"/>
          <w:szCs w:val="24"/>
        </w:rPr>
        <w:t>五</w:t>
      </w:r>
      <w:r>
        <w:rPr>
          <w:sz w:val="24"/>
          <w:szCs w:val="24"/>
        </w:rPr>
        <w:t>）乡村电商物流体系待优化</w:t>
      </w:r>
    </w:p>
    <w:p w14:paraId="251ED2EA">
      <w:pPr>
        <w:spacing w:line="360" w:lineRule="auto"/>
        <w:ind w:firstLine="480" w:firstLineChars="200"/>
        <w:rPr>
          <w:rFonts w:ascii="宋体" w:hAnsi="宋体" w:eastAsia="宋体" w:cs="仿宋"/>
          <w:kern w:val="0"/>
          <w:sz w:val="24"/>
          <w:lang w:bidi="ar"/>
        </w:rPr>
      </w:pPr>
      <w:r>
        <w:rPr>
          <w:rFonts w:hint="eastAsia" w:ascii="宋体" w:hAnsi="宋体" w:eastAsia="宋体" w:cs="Times New Roman"/>
          <w:sz w:val="24"/>
        </w:rPr>
        <w:t>郧阳区处于</w:t>
      </w:r>
      <w:r>
        <w:rPr>
          <w:rFonts w:ascii="宋体" w:hAnsi="宋体" w:eastAsia="宋体" w:cs="Times New Roman"/>
          <w:sz w:val="24"/>
        </w:rPr>
        <w:t>秦岭巴山东延余脉褶皱缓坡地带</w:t>
      </w:r>
      <w:r>
        <w:rPr>
          <w:rFonts w:hint="eastAsia" w:ascii="宋体" w:hAnsi="宋体" w:eastAsia="宋体" w:cs="Times New Roman"/>
          <w:sz w:val="24"/>
        </w:rPr>
        <w:t>，村庄分散，特别是交通相对不便利的山区，购销产品量少而分散，物流配送成本增加，物流配送难度增加，严重影响本地物流的流通时效与电商主体经营积极性。郧阳区的特色畜牧产品、水产品等由于冷链条件不足，运输成本高，产地预冷、冷冻运输、冷库仓储、定制配送等全冷链物流基本为零，大部只在郧阳区本地销售，严重制约了产业的发展。</w:t>
      </w:r>
      <w:r>
        <w:rPr>
          <w:rFonts w:hint="eastAsia" w:ascii="宋体" w:hAnsi="宋体" w:eastAsia="宋体" w:cs="仿宋"/>
          <w:kern w:val="0"/>
          <w:sz w:val="24"/>
          <w:lang w:bidi="ar"/>
        </w:rPr>
        <w:t xml:space="preserve"> </w:t>
      </w:r>
    </w:p>
    <w:p w14:paraId="6DE21583">
      <w:pPr>
        <w:pStyle w:val="3"/>
        <w:rPr>
          <w:rFonts w:asciiTheme="minorEastAsia" w:hAnsiTheme="minorEastAsia" w:eastAsiaTheme="minorEastAsia"/>
          <w:sz w:val="28"/>
          <w:szCs w:val="28"/>
        </w:rPr>
      </w:pPr>
      <w:bookmarkStart w:id="4" w:name="_Toc183083266"/>
      <w:r>
        <w:rPr>
          <w:rFonts w:asciiTheme="minorEastAsia" w:hAnsiTheme="minorEastAsia" w:eastAsiaTheme="minorEastAsia"/>
          <w:sz w:val="28"/>
          <w:szCs w:val="28"/>
        </w:rPr>
        <w:t>四、发展机遇</w:t>
      </w:r>
      <w:bookmarkEnd w:id="4"/>
    </w:p>
    <w:p w14:paraId="165FDFC4">
      <w:pPr>
        <w:pStyle w:val="4"/>
        <w:spacing w:before="120" w:after="120" w:line="360" w:lineRule="auto"/>
        <w:rPr>
          <w:sz w:val="24"/>
          <w:szCs w:val="24"/>
        </w:rPr>
      </w:pPr>
      <w:r>
        <w:rPr>
          <w:rFonts w:hint="eastAsia"/>
          <w:sz w:val="24"/>
          <w:szCs w:val="24"/>
        </w:rPr>
        <w:t>（一）经济数字化转型为电商产业发展再造新动力</w:t>
      </w:r>
    </w:p>
    <w:p w14:paraId="1597EC7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世界经济数字化转型加速，以大数据、云计算、虚拟现实、人工智能等为代表新一轮科技革命和产业变革深入发展，</w:t>
      </w:r>
      <w:r>
        <w:rPr>
          <w:rFonts w:ascii="宋体" w:hAnsi="宋体" w:eastAsia="宋体" w:cs="Times New Roman"/>
          <w:sz w:val="24"/>
        </w:rPr>
        <w:t>数字化转型不仅意味着技术的革新，更是商业模式的重塑和市场竞争力的提升。数字化转型推动了电商产业的供应链优化、物流智能化和支付便捷化，为消费者提供了更加优质、高效的购物体验。数字化转型促进了电商产业与其他产业的深度融合</w:t>
      </w:r>
      <w:r>
        <w:rPr>
          <w:rFonts w:hint="eastAsia" w:ascii="宋体" w:hAnsi="宋体" w:eastAsia="宋体" w:cs="Times New Roman"/>
          <w:sz w:val="24"/>
        </w:rPr>
        <w:t>，</w:t>
      </w:r>
      <w:r>
        <w:rPr>
          <w:rFonts w:ascii="宋体" w:hAnsi="宋体" w:eastAsia="宋体" w:cs="Times New Roman"/>
          <w:sz w:val="24"/>
        </w:rPr>
        <w:t>为电商企业走向国际市场提供了有力支持</w:t>
      </w:r>
      <w:r>
        <w:rPr>
          <w:rFonts w:hint="eastAsia" w:ascii="宋体" w:hAnsi="宋体" w:eastAsia="宋体" w:cs="Times New Roman"/>
          <w:sz w:val="24"/>
        </w:rPr>
        <w:t>，</w:t>
      </w:r>
      <w:r>
        <w:rPr>
          <w:rFonts w:ascii="宋体" w:hAnsi="宋体" w:eastAsia="宋体" w:cs="Times New Roman"/>
          <w:sz w:val="24"/>
        </w:rPr>
        <w:t>也为电商企业带来了更多的商业机会和创新空间。随着数字技术的不断发展和应用，电商产业将迎来更加广阔的发展前景。</w:t>
      </w:r>
    </w:p>
    <w:p w14:paraId="378B6826">
      <w:pPr>
        <w:pStyle w:val="4"/>
        <w:spacing w:before="120" w:after="120" w:line="360" w:lineRule="auto"/>
        <w:rPr>
          <w:sz w:val="24"/>
          <w:szCs w:val="24"/>
        </w:rPr>
      </w:pPr>
      <w:r>
        <w:rPr>
          <w:rFonts w:hint="eastAsia"/>
          <w:sz w:val="24"/>
          <w:szCs w:val="24"/>
        </w:rPr>
        <w:t>（二）高质量发展目标为电商产业发展带来新支撑</w:t>
      </w:r>
    </w:p>
    <w:p w14:paraId="29CB4AB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我国已转向高质量发展阶段，</w:t>
      </w:r>
      <w:r>
        <w:rPr>
          <w:rFonts w:ascii="宋体" w:hAnsi="宋体" w:eastAsia="宋体" w:cs="Times New Roman"/>
          <w:sz w:val="24"/>
        </w:rPr>
        <w:t>高质量发展强调创新驱动，为电商产业提供了技术创新和模式创新的双重动力</w:t>
      </w:r>
      <w:r>
        <w:rPr>
          <w:rFonts w:hint="eastAsia" w:ascii="宋体" w:hAnsi="宋体" w:eastAsia="宋体" w:cs="Times New Roman"/>
          <w:sz w:val="24"/>
        </w:rPr>
        <w:t>；</w:t>
      </w:r>
      <w:r>
        <w:rPr>
          <w:rFonts w:ascii="宋体" w:hAnsi="宋体" w:eastAsia="宋体" w:cs="Times New Roman"/>
          <w:sz w:val="24"/>
        </w:rPr>
        <w:t>高质量发展注重绿色发展，推动电商产业向更加环保、可持续的方向发展</w:t>
      </w:r>
      <w:r>
        <w:rPr>
          <w:rFonts w:hint="eastAsia" w:ascii="宋体" w:hAnsi="宋体" w:eastAsia="宋体" w:cs="Times New Roman"/>
          <w:sz w:val="24"/>
        </w:rPr>
        <w:t>；</w:t>
      </w:r>
      <w:r>
        <w:rPr>
          <w:rFonts w:ascii="宋体" w:hAnsi="宋体" w:eastAsia="宋体" w:cs="Times New Roman"/>
          <w:sz w:val="24"/>
        </w:rPr>
        <w:t>高质量发展强调协调发展，促进电商产业与其他产业的深度融合</w:t>
      </w:r>
      <w:r>
        <w:rPr>
          <w:rFonts w:hint="eastAsia" w:ascii="宋体" w:hAnsi="宋体" w:eastAsia="宋体" w:cs="Times New Roman"/>
          <w:sz w:val="24"/>
        </w:rPr>
        <w:t>；</w:t>
      </w:r>
      <w:r>
        <w:rPr>
          <w:rFonts w:ascii="宋体" w:hAnsi="宋体" w:eastAsia="宋体" w:cs="Times New Roman"/>
          <w:sz w:val="24"/>
        </w:rPr>
        <w:t>高质量发展注重开放发展，推动电商产业国际化进程。</w:t>
      </w:r>
      <w:r>
        <w:rPr>
          <w:rFonts w:hint="eastAsia" w:ascii="宋体" w:hAnsi="宋体" w:eastAsia="宋体" w:cs="Times New Roman"/>
          <w:sz w:val="24"/>
        </w:rPr>
        <w:t>可以说，</w:t>
      </w:r>
      <w:r>
        <w:rPr>
          <w:rFonts w:ascii="宋体" w:hAnsi="宋体" w:eastAsia="宋体" w:cs="Times New Roman"/>
          <w:sz w:val="24"/>
        </w:rPr>
        <w:t>高质量发展目标</w:t>
      </w:r>
      <w:r>
        <w:rPr>
          <w:rFonts w:hint="eastAsia" w:ascii="宋体" w:hAnsi="宋体" w:eastAsia="宋体" w:cs="Times New Roman"/>
          <w:sz w:val="24"/>
        </w:rPr>
        <w:t>有力</w:t>
      </w:r>
      <w:r>
        <w:rPr>
          <w:rFonts w:ascii="宋体" w:hAnsi="宋体" w:eastAsia="宋体" w:cs="Times New Roman"/>
          <w:sz w:val="24"/>
        </w:rPr>
        <w:t>推动了电商产业的转型升级和可持续发展，为电商产业的长远发展奠定了坚实基础。</w:t>
      </w:r>
    </w:p>
    <w:p w14:paraId="35A556EB">
      <w:pPr>
        <w:pStyle w:val="4"/>
        <w:spacing w:before="120" w:after="120" w:line="360" w:lineRule="auto"/>
        <w:rPr>
          <w:sz w:val="24"/>
          <w:szCs w:val="24"/>
        </w:rPr>
      </w:pPr>
      <w:r>
        <w:rPr>
          <w:rFonts w:hint="eastAsia"/>
          <w:sz w:val="24"/>
          <w:szCs w:val="24"/>
        </w:rPr>
        <w:t>（三）双循环发展格局为电商产业发展注入新活力</w:t>
      </w:r>
    </w:p>
    <w:p w14:paraId="6A33EAC5">
      <w:pPr>
        <w:widowControl/>
        <w:shd w:val="clear" w:color="auto" w:fill="FFFFFF"/>
        <w:spacing w:line="360" w:lineRule="auto"/>
        <w:ind w:firstLine="640"/>
        <w:rPr>
          <w:rFonts w:ascii="宋体" w:hAnsi="宋体" w:eastAsia="宋体" w:cs="宋体"/>
          <w:kern w:val="0"/>
          <w:sz w:val="24"/>
        </w:rPr>
      </w:pPr>
      <w:r>
        <w:rPr>
          <w:rFonts w:ascii="宋体" w:hAnsi="宋体" w:eastAsia="宋体" w:cs="宋体"/>
          <w:kern w:val="0"/>
          <w:sz w:val="24"/>
        </w:rPr>
        <w:t>加快构建以国内大循环为主体、国内国际双循环相互促进的新发展格局是“十四五”期间的重要目标。双循环发展格局强调扩大内需、促进消费，</w:t>
      </w:r>
      <w:r>
        <w:rPr>
          <w:rFonts w:hint="eastAsia" w:ascii="宋体" w:hAnsi="宋体" w:eastAsia="宋体" w:cs="宋体"/>
          <w:kern w:val="0"/>
          <w:sz w:val="24"/>
        </w:rPr>
        <w:t>聚焦国内完整分工体系，</w:t>
      </w:r>
      <w:r>
        <w:rPr>
          <w:rFonts w:ascii="宋体" w:hAnsi="宋体" w:eastAsia="宋体" w:cs="宋体"/>
          <w:kern w:val="0"/>
          <w:sz w:val="24"/>
        </w:rPr>
        <w:t>这为电商产业提供了广阔的市场空间。同时，国内市场的统一和要素的自由流动，也为电商企业提供了更加公平、透明的竞争环境。双循环发展格局鼓励企业“走出去”，积极参与国际市场竞争。通过跨境电商平台，电商企业可以更加便捷地实现全球范围内的商品流通，推动国际贸易的数字化转型。</w:t>
      </w:r>
    </w:p>
    <w:p w14:paraId="144BD168">
      <w:pPr>
        <w:pStyle w:val="4"/>
        <w:spacing w:before="120" w:after="120" w:line="360" w:lineRule="auto"/>
        <w:rPr>
          <w:sz w:val="24"/>
          <w:szCs w:val="24"/>
        </w:rPr>
      </w:pPr>
      <w:r>
        <w:rPr>
          <w:rFonts w:hint="eastAsia"/>
          <w:sz w:val="24"/>
          <w:szCs w:val="24"/>
        </w:rPr>
        <w:t>（四）重大战略举措为电商产业发展创造新机遇</w:t>
      </w:r>
    </w:p>
    <w:p w14:paraId="433F7CA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“大众创业万众创新”“供给侧结构性改革”“制造强国战略”“</w:t>
      </w:r>
      <w:r>
        <w:rPr>
          <w:rFonts w:ascii="宋体" w:hAnsi="宋体" w:eastAsia="宋体" w:cs="Times New Roman"/>
          <w:sz w:val="24"/>
        </w:rPr>
        <w:t>乡村振兴战略</w:t>
      </w:r>
      <w:r>
        <w:rPr>
          <w:rFonts w:hint="eastAsia" w:ascii="宋体" w:hAnsi="宋体" w:eastAsia="宋体" w:cs="Times New Roman"/>
          <w:sz w:val="24"/>
        </w:rPr>
        <w:t>”“互联网+”“大数据”等国家重大战略举措在促进创新创业、推动传统产业转型升级等方面提供更大的发展机遇。</w:t>
      </w:r>
      <w:r>
        <w:rPr>
          <w:rFonts w:ascii="宋体" w:hAnsi="宋体" w:eastAsia="宋体" w:cs="宋体"/>
          <w:kern w:val="0"/>
          <w:sz w:val="24"/>
        </w:rPr>
        <w:t>“一带一路”倡议</w:t>
      </w:r>
      <w:r>
        <w:rPr>
          <w:rFonts w:ascii="宋体" w:hAnsi="宋体" w:eastAsia="宋体" w:cs="Times New Roman"/>
          <w:sz w:val="24"/>
        </w:rPr>
        <w:t>、“数字丝绸之路”</w:t>
      </w:r>
      <w:r>
        <w:rPr>
          <w:rFonts w:hint="eastAsia" w:ascii="宋体" w:hAnsi="宋体" w:eastAsia="宋体" w:cs="Times New Roman"/>
          <w:sz w:val="24"/>
        </w:rPr>
        <w:t>、</w:t>
      </w:r>
      <w:r>
        <w:rPr>
          <w:rFonts w:ascii="宋体" w:hAnsi="宋体" w:eastAsia="宋体" w:cs="Times New Roman"/>
          <w:sz w:val="24"/>
        </w:rPr>
        <w:t>“丝路电</w:t>
      </w:r>
      <w:r>
        <w:rPr>
          <w:rFonts w:ascii="宋体" w:hAnsi="宋体" w:eastAsia="宋体" w:cs="宋体"/>
          <w:kern w:val="0"/>
          <w:sz w:val="24"/>
        </w:rPr>
        <w:t>商”、RCEP协议的签订为中国面向世界市场发展提供了</w:t>
      </w:r>
      <w:r>
        <w:rPr>
          <w:rFonts w:hint="eastAsia" w:ascii="宋体" w:hAnsi="宋体" w:eastAsia="宋体" w:cs="宋体"/>
          <w:kern w:val="0"/>
          <w:sz w:val="24"/>
        </w:rPr>
        <w:t>大量</w:t>
      </w:r>
      <w:r>
        <w:rPr>
          <w:rFonts w:ascii="宋体" w:hAnsi="宋体" w:eastAsia="宋体" w:cs="宋体"/>
          <w:kern w:val="0"/>
          <w:sz w:val="24"/>
        </w:rPr>
        <w:t>机遇</w:t>
      </w:r>
      <w:r>
        <w:rPr>
          <w:rFonts w:hint="eastAsia" w:ascii="宋体" w:hAnsi="宋体" w:eastAsia="宋体" w:cs="宋体"/>
          <w:kern w:val="0"/>
          <w:sz w:val="24"/>
        </w:rPr>
        <w:t>。</w:t>
      </w:r>
      <w:r>
        <w:rPr>
          <w:rFonts w:ascii="宋体" w:hAnsi="宋体" w:eastAsia="宋体" w:cs="Times New Roman"/>
          <w:sz w:val="24"/>
        </w:rPr>
        <w:t>新基建的加速推进，特别是5G、物联网等基础设施的完善，为电商产业的创新发展提供了坚实的支撑。</w:t>
      </w:r>
    </w:p>
    <w:p w14:paraId="7B3D4C1F">
      <w:pPr>
        <w:pStyle w:val="4"/>
        <w:spacing w:before="120" w:after="120" w:line="360" w:lineRule="auto"/>
        <w:rPr>
          <w:sz w:val="24"/>
          <w:szCs w:val="24"/>
        </w:rPr>
      </w:pPr>
      <w:r>
        <w:rPr>
          <w:rFonts w:hint="eastAsia"/>
          <w:sz w:val="24"/>
          <w:szCs w:val="24"/>
        </w:rPr>
        <w:t>（五）电商应用下沉为电商产业发展提供新市场</w:t>
      </w:r>
    </w:p>
    <w:p w14:paraId="17A0A46F">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随着消费升级战略加速，三、四线及以下城市庞大的人口基数孕育的巨大市场空间备受关注，电商巨头纷纷布局下沉市场，电子商务平台将加速走进商品原产地及特色产业带。</w:t>
      </w:r>
      <w:r>
        <w:rPr>
          <w:rFonts w:ascii="宋体" w:hAnsi="宋体" w:eastAsia="宋体" w:cs="Times New Roman"/>
          <w:sz w:val="24"/>
        </w:rPr>
        <w:t>电商应用下沉通过开拓新的市场空间、满足消费升级需求、获得政策支持、增强平台竞争力、适应消费需求变化、数字化赋能以及长尾品牌机遇等方面，为电商产业发展提供了新的市场和增长点</w:t>
      </w:r>
      <w:r>
        <w:rPr>
          <w:rFonts w:hint="eastAsia" w:ascii="宋体" w:hAnsi="宋体" w:eastAsia="宋体" w:cs="Times New Roman"/>
          <w:sz w:val="24"/>
        </w:rPr>
        <w:t>，中小城市和农村地区电子商务将进入高速增长阶段，创新创业机会将增多。</w:t>
      </w:r>
    </w:p>
    <w:p w14:paraId="5DFDC6BB">
      <w:pPr>
        <w:spacing w:line="360" w:lineRule="auto"/>
        <w:rPr>
          <w:rFonts w:ascii="宋体" w:hAnsi="宋体" w:eastAsia="宋体" w:cs="微软雅黑"/>
          <w:kern w:val="0"/>
          <w:sz w:val="24"/>
          <w:lang w:bidi="ar"/>
        </w:rPr>
      </w:pPr>
      <w:r>
        <w:rPr>
          <w:rFonts w:hint="eastAsia" w:ascii="宋体" w:hAnsi="宋体" w:eastAsia="宋体" w:cs="微软雅黑"/>
          <w:kern w:val="0"/>
          <w:sz w:val="24"/>
          <w:lang w:bidi="ar"/>
        </w:rPr>
        <w:br w:type="page"/>
      </w:r>
    </w:p>
    <w:p w14:paraId="110F9DAD">
      <w:pPr>
        <w:pStyle w:val="2"/>
        <w:jc w:val="center"/>
        <w:rPr>
          <w:rFonts w:hint="default" w:ascii="黑体" w:hAnsi="黑体" w:eastAsia="黑体"/>
          <w:sz w:val="36"/>
          <w:szCs w:val="36"/>
          <w:lang w:bidi="ar"/>
        </w:rPr>
      </w:pPr>
      <w:bookmarkStart w:id="5" w:name="_Toc183083267"/>
      <w:r>
        <w:rPr>
          <w:rFonts w:ascii="黑体" w:hAnsi="黑体" w:eastAsia="黑体"/>
          <w:sz w:val="36"/>
          <w:szCs w:val="36"/>
          <w:lang w:bidi="ar"/>
        </w:rPr>
        <w:t>第二章 总体要求和发展目标</w:t>
      </w:r>
      <w:bookmarkEnd w:id="5"/>
    </w:p>
    <w:p w14:paraId="69C73B4B">
      <w:pPr>
        <w:pStyle w:val="3"/>
        <w:rPr>
          <w:rFonts w:asciiTheme="minorEastAsia" w:hAnsiTheme="minorEastAsia" w:eastAsiaTheme="minorEastAsia"/>
          <w:sz w:val="28"/>
          <w:szCs w:val="28"/>
        </w:rPr>
      </w:pPr>
      <w:bookmarkStart w:id="6" w:name="_Toc183083268"/>
      <w:r>
        <w:rPr>
          <w:rFonts w:asciiTheme="minorEastAsia" w:hAnsiTheme="minorEastAsia" w:eastAsiaTheme="minorEastAsia"/>
          <w:sz w:val="28"/>
          <w:szCs w:val="28"/>
        </w:rPr>
        <w:t>一、指导思想</w:t>
      </w:r>
      <w:bookmarkEnd w:id="6"/>
    </w:p>
    <w:p w14:paraId="6323C773">
      <w:pPr>
        <w:widowControl/>
        <w:spacing w:line="360" w:lineRule="auto"/>
        <w:ind w:firstLine="480" w:firstLineChars="200"/>
        <w:rPr>
          <w:rFonts w:ascii="宋体" w:hAnsi="宋体" w:eastAsia="宋体" w:cs="仿宋"/>
          <w:kern w:val="0"/>
          <w:sz w:val="24"/>
        </w:rPr>
      </w:pPr>
      <w:r>
        <w:rPr>
          <w:rFonts w:hint="eastAsia" w:ascii="宋体" w:hAnsi="宋体" w:eastAsia="宋体" w:cs="仿宋"/>
          <w:kern w:val="0"/>
          <w:sz w:val="24"/>
          <w:lang w:bidi="ar"/>
        </w:rPr>
        <w:t>以习近平新时代中国特色社会主义思想为指导，</w:t>
      </w:r>
      <w:r>
        <w:rPr>
          <w:rFonts w:ascii="宋体" w:hAnsi="宋体" w:eastAsia="宋体"/>
          <w:sz w:val="24"/>
        </w:rPr>
        <w:t>深入</w:t>
      </w:r>
      <w:r>
        <w:rPr>
          <w:rFonts w:ascii="宋体" w:hAnsi="宋体" w:eastAsia="宋体" w:cs="仿宋"/>
          <w:kern w:val="0"/>
          <w:sz w:val="24"/>
          <w:lang w:bidi="ar"/>
        </w:rPr>
        <w:t>贯彻党的二十大和</w:t>
      </w:r>
      <w:r>
        <w:rPr>
          <w:rFonts w:hint="eastAsia" w:ascii="宋体" w:hAnsi="宋体" w:eastAsia="宋体" w:cs="仿宋"/>
          <w:kern w:val="0"/>
          <w:sz w:val="24"/>
          <w:lang w:bidi="ar"/>
        </w:rPr>
        <w:t>二十届三中全会精神,全面落实湖北省委、十堰市委、郧阳区委决策部署，牢固树立、</w:t>
      </w:r>
      <w:r>
        <w:rPr>
          <w:rFonts w:ascii="宋体" w:hAnsi="宋体" w:eastAsia="宋体" w:cs="仿宋"/>
          <w:kern w:val="0"/>
          <w:sz w:val="24"/>
          <w:lang w:bidi="ar"/>
        </w:rPr>
        <w:t>全面贯彻新发展理念</w:t>
      </w:r>
      <w:r>
        <w:rPr>
          <w:rFonts w:hint="eastAsia" w:ascii="宋体" w:hAnsi="宋体" w:eastAsia="宋体" w:cs="仿宋"/>
          <w:kern w:val="0"/>
          <w:sz w:val="24"/>
          <w:lang w:bidi="ar"/>
        </w:rPr>
        <w:t>，坚持政府推动、市场主导、龙头带动、规范发展的准则，全面实施创新驱动发展战略，应用数字化手段来推动商贸流通的创新和效率的提升，推动技术创新应用，培育优质电商企业，完善标准与规则体系，在跨境电商领域进行更多的探索和实践，推动电子商务高质量发展。从郧阳经济发展大局出发，顺应产业和消费升级趋势，突出郧阳特色，因地制宜，注重差异发展，实现重点突破，提升电子商务竞争水平和服务品质。以人民为中心，以创新发展为动力，</w:t>
      </w:r>
      <w:r>
        <w:rPr>
          <w:rFonts w:ascii="宋体" w:hAnsi="宋体" w:eastAsia="宋体" w:cs="仿宋"/>
          <w:kern w:val="0"/>
          <w:sz w:val="24"/>
          <w:lang w:bidi="ar"/>
        </w:rPr>
        <w:t>以转方式、调结构、促升级为主线，</w:t>
      </w:r>
      <w:r>
        <w:rPr>
          <w:rFonts w:hint="eastAsia" w:ascii="宋体" w:hAnsi="宋体" w:eastAsia="宋体" w:cs="仿宋"/>
          <w:kern w:val="0"/>
          <w:sz w:val="24"/>
          <w:lang w:bidi="ar"/>
        </w:rPr>
        <w:t>把发展电子商务与推动全区经济转型紧密结合，着力强要素、优体系、促融合、升物流、推跨境、聚品牌、育主体、造场景，培育电子商务新动能，充分释放电子商务创新创业活力，使电子商务成为我区促进经济发展、加快乡村振兴的重要支撑和新的增长极。</w:t>
      </w:r>
    </w:p>
    <w:p w14:paraId="7172453A">
      <w:pPr>
        <w:pStyle w:val="3"/>
        <w:rPr>
          <w:rFonts w:asciiTheme="minorEastAsia" w:hAnsiTheme="minorEastAsia" w:eastAsiaTheme="minorEastAsia"/>
          <w:sz w:val="28"/>
          <w:szCs w:val="28"/>
        </w:rPr>
      </w:pPr>
      <w:bookmarkStart w:id="7" w:name="_Toc183083269"/>
      <w:r>
        <w:rPr>
          <w:rFonts w:asciiTheme="minorEastAsia" w:hAnsiTheme="minorEastAsia" w:eastAsiaTheme="minorEastAsia"/>
          <w:sz w:val="28"/>
          <w:szCs w:val="28"/>
        </w:rPr>
        <w:t>二、基本原则</w:t>
      </w:r>
      <w:bookmarkEnd w:id="7"/>
    </w:p>
    <w:p w14:paraId="554755E7">
      <w:pPr>
        <w:widowControl/>
        <w:spacing w:line="360" w:lineRule="auto"/>
        <w:ind w:firstLine="480" w:firstLineChars="200"/>
        <w:rPr>
          <w:rFonts w:ascii="宋体" w:hAnsi="宋体" w:eastAsia="宋体" w:cs="仿宋"/>
          <w:kern w:val="0"/>
          <w:sz w:val="24"/>
        </w:rPr>
      </w:pPr>
      <w:r>
        <w:rPr>
          <w:rFonts w:hint="eastAsia" w:ascii="宋体" w:hAnsi="宋体" w:eastAsia="宋体" w:cs="微软雅黑"/>
          <w:kern w:val="0"/>
          <w:sz w:val="24"/>
          <w:lang w:bidi="ar"/>
        </w:rPr>
        <w:t>（一）坚持线上线下融合，创新发展。</w:t>
      </w:r>
      <w:r>
        <w:rPr>
          <w:rFonts w:hint="eastAsia" w:ascii="宋体" w:hAnsi="宋体" w:eastAsia="宋体" w:cs="仿宋"/>
          <w:kern w:val="0"/>
          <w:sz w:val="24"/>
          <w:lang w:bidi="ar"/>
        </w:rPr>
        <w:t>充分挖掘郧阳特色产业资源，进一步释放数字技术和数据资源对商务领域的赋能效应，推动传统商贸零售企业、重点生活服务企业、重点工业企业、外资外贸企业等数字化升级改造，构建数字化供应链，实现线上线下一体化发展。</w:t>
      </w:r>
    </w:p>
    <w:p w14:paraId="2F9E335D">
      <w:pPr>
        <w:widowControl/>
        <w:shd w:val="clear" w:color="auto" w:fill="FFFFFF"/>
        <w:spacing w:line="360" w:lineRule="auto"/>
        <w:ind w:firstLine="480" w:firstLineChars="200"/>
        <w:rPr>
          <w:rFonts w:ascii="宋体" w:hAnsi="宋体" w:eastAsia="宋体" w:cs="仿宋"/>
          <w:kern w:val="0"/>
          <w:sz w:val="24"/>
          <w:shd w:val="clear" w:color="auto" w:fill="FFFFFF"/>
        </w:rPr>
      </w:pPr>
      <w:r>
        <w:rPr>
          <w:rFonts w:hint="eastAsia" w:ascii="宋体" w:hAnsi="宋体" w:eastAsia="宋体" w:cs="微软雅黑"/>
          <w:kern w:val="0"/>
          <w:sz w:val="24"/>
          <w:shd w:val="clear" w:color="auto" w:fill="FFFFFF"/>
          <w:lang w:bidi="ar"/>
        </w:rPr>
        <w:t>（二）坚持城乡统筹，协调发展。</w:t>
      </w:r>
      <w:r>
        <w:rPr>
          <w:rFonts w:hint="eastAsia" w:ascii="宋体" w:hAnsi="宋体" w:eastAsia="宋体" w:cs="仿宋"/>
          <w:kern w:val="0"/>
          <w:sz w:val="24"/>
          <w:shd w:val="clear" w:color="auto" w:fill="FFFFFF"/>
          <w:lang w:bidi="ar"/>
        </w:rPr>
        <w:t>加强农村电商基础设施建设，提升网络覆盖和物流配送能力；注重农村电商人才的培养和引进，提高农民电商应用能力和创业水平。探索适合农村的电商模式，加强品牌建设，并出台扶持政策，加强市场监管，以促进城乡电商均衡、协调发展，推动经济社会全面进步。</w:t>
      </w:r>
    </w:p>
    <w:p w14:paraId="354E16EF">
      <w:pPr>
        <w:widowControl/>
        <w:shd w:val="clear" w:color="auto" w:fill="FFFFFF"/>
        <w:spacing w:after="20" w:line="360" w:lineRule="auto"/>
        <w:ind w:firstLine="480" w:firstLineChars="200"/>
        <w:rPr>
          <w:rFonts w:ascii="宋体" w:hAnsi="宋体" w:eastAsia="宋体" w:cs="仿宋"/>
          <w:kern w:val="0"/>
          <w:sz w:val="24"/>
          <w:shd w:val="clear" w:color="auto" w:fill="FFFFFF"/>
          <w:lang w:bidi="ar"/>
        </w:rPr>
      </w:pPr>
      <w:r>
        <w:rPr>
          <w:rFonts w:hint="eastAsia" w:ascii="宋体" w:hAnsi="宋体" w:eastAsia="宋体" w:cs="微软雅黑"/>
          <w:kern w:val="0"/>
          <w:sz w:val="24"/>
          <w:shd w:val="clear" w:color="auto" w:fill="FFFFFF"/>
          <w:lang w:bidi="ar"/>
        </w:rPr>
        <w:t>（三）坚持循环低碳并行，绿色发展。</w:t>
      </w:r>
      <w:r>
        <w:rPr>
          <w:rFonts w:hint="eastAsia" w:ascii="宋体" w:hAnsi="宋体" w:eastAsia="宋体" w:cs="仿宋"/>
          <w:kern w:val="0"/>
          <w:sz w:val="24"/>
          <w:shd w:val="clear" w:color="auto" w:fill="FFFFFF"/>
          <w:lang w:bidi="ar"/>
        </w:rPr>
        <w:t>积极倡</w:t>
      </w:r>
      <w:r>
        <w:rPr>
          <w:rFonts w:hint="eastAsia" w:ascii="宋体" w:hAnsi="宋体" w:eastAsia="宋体" w:cs="微软雅黑"/>
          <w:kern w:val="0"/>
          <w:sz w:val="24"/>
          <w:shd w:val="clear" w:color="auto" w:fill="FFFFFF"/>
          <w:lang w:bidi="ar"/>
        </w:rPr>
        <w:t>导绿色发展方式，推动绿色物流，优化配送路线及推广绿色包装，</w:t>
      </w:r>
      <w:r>
        <w:rPr>
          <w:rFonts w:ascii="宋体" w:hAnsi="宋体" w:eastAsia="宋体" w:cs="微软雅黑"/>
          <w:kern w:val="0"/>
          <w:sz w:val="24"/>
          <w:shd w:val="clear" w:color="auto" w:fill="FFFFFF"/>
          <w:lang w:bidi="ar"/>
        </w:rPr>
        <w:t>开发智能仓储系统</w:t>
      </w:r>
      <w:r>
        <w:rPr>
          <w:rFonts w:hint="eastAsia" w:ascii="宋体" w:hAnsi="宋体" w:eastAsia="宋体" w:cs="微软雅黑"/>
          <w:kern w:val="0"/>
          <w:sz w:val="24"/>
          <w:shd w:val="clear" w:color="auto" w:fill="FFFFFF"/>
          <w:lang w:bidi="ar"/>
        </w:rPr>
        <w:t>，</w:t>
      </w:r>
      <w:r>
        <w:rPr>
          <w:rFonts w:ascii="宋体" w:hAnsi="宋体" w:eastAsia="宋体" w:cs="微软雅黑"/>
          <w:kern w:val="0"/>
          <w:sz w:val="24"/>
          <w:shd w:val="clear" w:color="auto" w:fill="FFFFFF"/>
          <w:lang w:bidi="ar"/>
        </w:rPr>
        <w:t>实现物流过程的实时监控和优化管理</w:t>
      </w:r>
      <w:r>
        <w:rPr>
          <w:rFonts w:hint="eastAsia" w:ascii="宋体" w:hAnsi="宋体" w:eastAsia="宋体" w:cs="微软雅黑"/>
          <w:kern w:val="0"/>
          <w:sz w:val="24"/>
          <w:shd w:val="clear" w:color="auto" w:fill="FFFFFF"/>
          <w:lang w:bidi="ar"/>
        </w:rPr>
        <w:t>。推动绿色消费，设立绿色产品销售专区并引导绿色消费观念。</w:t>
      </w:r>
      <w:r>
        <w:rPr>
          <w:rFonts w:ascii="宋体" w:hAnsi="宋体" w:eastAsia="宋体" w:cs="微软雅黑"/>
          <w:kern w:val="0"/>
          <w:sz w:val="24"/>
          <w:shd w:val="clear" w:color="auto" w:fill="FFFFFF"/>
          <w:lang w:bidi="ar"/>
        </w:rPr>
        <w:t>推动电子商务与绿色农业、绿色制造等产业的深度融合，形成绿色发展的良性循环。</w:t>
      </w:r>
    </w:p>
    <w:p w14:paraId="595D954D">
      <w:pPr>
        <w:widowControl/>
        <w:shd w:val="clear" w:color="auto" w:fill="FFFFFF"/>
        <w:spacing w:after="20" w:line="360" w:lineRule="auto"/>
        <w:ind w:firstLine="480" w:firstLineChars="200"/>
        <w:rPr>
          <w:rFonts w:ascii="宋体" w:hAnsi="宋体" w:eastAsia="宋体" w:cs="微软雅黑"/>
          <w:kern w:val="0"/>
          <w:sz w:val="24"/>
          <w:shd w:val="clear" w:color="auto" w:fill="FFFFFF"/>
          <w:lang w:bidi="ar"/>
        </w:rPr>
      </w:pPr>
      <w:r>
        <w:rPr>
          <w:rFonts w:hint="eastAsia" w:ascii="宋体" w:hAnsi="宋体" w:eastAsia="宋体" w:cs="微软雅黑"/>
          <w:kern w:val="0"/>
          <w:sz w:val="24"/>
          <w:shd w:val="clear" w:color="auto" w:fill="FFFFFF"/>
          <w:lang w:bidi="ar"/>
        </w:rPr>
        <w:t>（四）坚持内外联通，开放发展。</w:t>
      </w:r>
      <w:r>
        <w:rPr>
          <w:rFonts w:ascii="宋体" w:hAnsi="宋体" w:eastAsia="宋体" w:cs="微软雅黑"/>
          <w:kern w:val="0"/>
          <w:sz w:val="24"/>
          <w:shd w:val="clear" w:color="auto" w:fill="FFFFFF"/>
          <w:lang w:bidi="ar"/>
        </w:rPr>
        <w:t>积极融入国内国际双循环。通过与国内其他地区及国际市场的紧密联通，引入先进的电商技术和管理经验，同时输出本地特色产品和文化，实现资源的优化配置和市场的拓展。注重开放合作，构建共赢的电商生态。通过搭建开放平台，吸引更多企业、个人和机构参与电商活动，形成多方共赢的合作模式。</w:t>
      </w:r>
    </w:p>
    <w:p w14:paraId="123D7991">
      <w:pPr>
        <w:widowControl/>
        <w:shd w:val="clear" w:color="auto" w:fill="FFFFFF"/>
        <w:spacing w:after="20" w:line="360" w:lineRule="auto"/>
        <w:ind w:firstLine="480" w:firstLineChars="200"/>
        <w:rPr>
          <w:rFonts w:ascii="宋体" w:hAnsi="宋体" w:eastAsia="宋体" w:cs="微软雅黑"/>
          <w:kern w:val="0"/>
          <w:sz w:val="24"/>
          <w:shd w:val="clear" w:color="auto" w:fill="FFFFFF"/>
          <w:lang w:bidi="ar"/>
        </w:rPr>
      </w:pPr>
      <w:r>
        <w:rPr>
          <w:rFonts w:hint="eastAsia" w:ascii="宋体" w:hAnsi="宋体" w:eastAsia="宋体" w:cs="微软雅黑"/>
          <w:kern w:val="0"/>
          <w:sz w:val="24"/>
          <w:shd w:val="clear" w:color="auto" w:fill="FFFFFF"/>
          <w:lang w:bidi="ar"/>
        </w:rPr>
        <w:t>（五）坚持以人民为中心，共享发展。通过建链、补链、强链，实现产业链上下游企业的纵向合作和相关产业链之间企业的横向互动，形成具有一定竞争优势和规模效应的产业聚集区，推进供给侧结构性改革和创新驱动发展，促进区域间的开放合作与互利共赢，依托区域优势发展特色新产业，推动互联网与传统产业的深度融合,实现</w:t>
      </w:r>
      <w:r>
        <w:rPr>
          <w:rFonts w:ascii="宋体" w:hAnsi="宋体" w:eastAsia="宋体" w:cs="微软雅黑"/>
          <w:kern w:val="0"/>
          <w:sz w:val="24"/>
          <w:shd w:val="clear" w:color="auto" w:fill="FFFFFF"/>
          <w:lang w:bidi="ar"/>
        </w:rPr>
        <w:t>电商发展成果惠及更广泛人群</w:t>
      </w:r>
      <w:r>
        <w:rPr>
          <w:rFonts w:hint="eastAsia" w:ascii="宋体" w:hAnsi="宋体" w:eastAsia="宋体" w:cs="微软雅黑"/>
          <w:kern w:val="0"/>
          <w:sz w:val="24"/>
          <w:shd w:val="clear" w:color="auto" w:fill="FFFFFF"/>
          <w:lang w:bidi="ar"/>
        </w:rPr>
        <w:t>。</w:t>
      </w:r>
    </w:p>
    <w:p w14:paraId="24D0A3AF">
      <w:pPr>
        <w:widowControl/>
        <w:shd w:val="clear" w:color="auto" w:fill="FFFFFF"/>
        <w:spacing w:after="20" w:line="360" w:lineRule="auto"/>
        <w:ind w:firstLine="480" w:firstLineChars="200"/>
        <w:rPr>
          <w:rFonts w:ascii="宋体" w:hAnsi="宋体" w:eastAsia="宋体" w:cs="仿宋"/>
          <w:kern w:val="0"/>
          <w:sz w:val="24"/>
          <w:shd w:val="clear" w:color="auto" w:fill="FFFFFF"/>
          <w:lang w:bidi="ar"/>
        </w:rPr>
      </w:pPr>
      <w:r>
        <w:rPr>
          <w:rFonts w:hint="eastAsia" w:ascii="宋体" w:hAnsi="宋体" w:eastAsia="宋体" w:cs="微软雅黑"/>
          <w:kern w:val="0"/>
          <w:sz w:val="24"/>
          <w:shd w:val="clear" w:color="auto" w:fill="FFFFFF"/>
          <w:lang w:bidi="ar"/>
        </w:rPr>
        <w:t>（六）坚持发展规范并重，健康发展。发挥市场在资源配置中的决定性作用和政府宏观调控作用，推动传统商贸向数字化转型，并加强电商人才的培养与引进。</w:t>
      </w:r>
      <w:r>
        <w:rPr>
          <w:rFonts w:ascii="宋体" w:hAnsi="宋体" w:eastAsia="宋体" w:cs="微软雅黑"/>
          <w:kern w:val="0"/>
          <w:sz w:val="24"/>
          <w:shd w:val="clear" w:color="auto" w:fill="FFFFFF"/>
          <w:lang w:bidi="ar"/>
        </w:rPr>
        <w:t>在快速发展的过程中，必须建立健全的监管体系，规范市场秩序，防止不正当竞争和违法行为的发生</w:t>
      </w:r>
      <w:r>
        <w:rPr>
          <w:rFonts w:hint="eastAsia" w:ascii="宋体" w:hAnsi="宋体" w:eastAsia="宋体" w:cs="微软雅黑"/>
          <w:kern w:val="0"/>
          <w:sz w:val="24"/>
          <w:shd w:val="clear" w:color="auto" w:fill="FFFFFF"/>
          <w:lang w:bidi="ar"/>
        </w:rPr>
        <w:t>，从而为电商行业创造一个健康、有序的发展环境。</w:t>
      </w:r>
    </w:p>
    <w:p w14:paraId="3A630DBC">
      <w:pPr>
        <w:pStyle w:val="3"/>
        <w:rPr>
          <w:rFonts w:asciiTheme="minorEastAsia" w:hAnsiTheme="minorEastAsia" w:eastAsiaTheme="minorEastAsia"/>
          <w:sz w:val="28"/>
          <w:szCs w:val="28"/>
        </w:rPr>
      </w:pPr>
      <w:bookmarkStart w:id="8" w:name="_Toc181666855"/>
      <w:bookmarkStart w:id="9" w:name="_Toc183083270"/>
      <w:r>
        <w:rPr>
          <w:rFonts w:asciiTheme="minorEastAsia" w:hAnsiTheme="minorEastAsia" w:eastAsiaTheme="minorEastAsia"/>
          <w:sz w:val="28"/>
          <w:szCs w:val="28"/>
        </w:rPr>
        <w:t>三、战略定位</w:t>
      </w:r>
      <w:bookmarkEnd w:id="8"/>
      <w:bookmarkEnd w:id="9"/>
    </w:p>
    <w:p w14:paraId="748EE663">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2025—2027年是郧阳</w:t>
      </w:r>
      <w:r>
        <w:rPr>
          <w:rFonts w:hint="eastAsia" w:ascii="宋体" w:hAnsi="宋体" w:eastAsia="宋体" w:cs="仿宋"/>
          <w:kern w:val="0"/>
          <w:sz w:val="24"/>
          <w:lang w:val="en-US" w:bidi="zh-CN"/>
        </w:rPr>
        <w:t>区</w:t>
      </w:r>
      <w:r>
        <w:rPr>
          <w:rFonts w:hint="eastAsia" w:ascii="宋体" w:hAnsi="宋体" w:eastAsia="宋体" w:cs="仿宋"/>
          <w:kern w:val="0"/>
          <w:sz w:val="24"/>
          <w:lang w:bidi="zh-CN"/>
        </w:rPr>
        <w:t>加快产业融合发展的机遇期，要顺应以在线、智能、交互为特征的新经济发展大趋势，培育新质生产力，塑造发展新动能，充分发挥电子商务在拉动内需、扩大外贸、促进消费、转变经济增长方式方面的重要作用，丰富郧阳区经济发展内涵，加快产业转型与升级步伐。围绕打造“一个枢纽、两大基地、一个通道”战略定位，着力把郧阳打造成鄂西北重要的电子商务枢纽城市、秦巴山区绿色农产品电子商务基地、长江经济带文化旅游电子商务基地、</w:t>
      </w:r>
      <w:r>
        <w:rPr>
          <w:rFonts w:hint="eastAsia" w:ascii="宋体" w:hAnsi="宋体" w:eastAsia="宋体" w:cs="仿宋"/>
          <w:kern w:val="0"/>
          <w:sz w:val="24"/>
          <w:lang w:val="zh-CN" w:bidi="zh-CN"/>
        </w:rPr>
        <w:t>“一带一路”跨境电商新通道</w:t>
      </w:r>
      <w:r>
        <w:rPr>
          <w:rFonts w:hint="eastAsia" w:ascii="宋体" w:hAnsi="宋体" w:eastAsia="宋体" w:cs="仿宋"/>
          <w:kern w:val="0"/>
          <w:sz w:val="24"/>
          <w:lang w:bidi="zh-CN"/>
        </w:rPr>
        <w:t>，凸显郧阳产业特色，使电子商务成为全区经济发展的重要支撑和新的增长极。</w:t>
      </w:r>
    </w:p>
    <w:p w14:paraId="5CFFACF1">
      <w:pPr>
        <w:spacing w:line="360" w:lineRule="auto"/>
        <w:ind w:firstLine="480" w:firstLineChars="200"/>
        <w:rPr>
          <w:rFonts w:ascii="宋体" w:hAnsi="宋体" w:eastAsia="宋体" w:cs="仿宋"/>
          <w:kern w:val="0"/>
          <w:sz w:val="24"/>
          <w:lang w:val="zh-CN" w:bidi="zh-CN"/>
        </w:rPr>
      </w:pPr>
      <w:r>
        <w:rPr>
          <w:rFonts w:hint="eastAsia" w:ascii="宋体" w:hAnsi="宋体" w:eastAsia="宋体" w:cs="仿宋"/>
          <w:kern w:val="0"/>
          <w:sz w:val="24"/>
          <w:lang w:val="zh-CN" w:bidi="zh-CN"/>
        </w:rPr>
        <w:t>（</w:t>
      </w:r>
      <w:r>
        <w:rPr>
          <w:rFonts w:hint="eastAsia" w:ascii="宋体" w:hAnsi="宋体" w:eastAsia="宋体" w:cs="仿宋"/>
          <w:kern w:val="0"/>
          <w:sz w:val="24"/>
          <w:lang w:bidi="zh-CN"/>
        </w:rPr>
        <w:t>一</w:t>
      </w:r>
      <w:r>
        <w:rPr>
          <w:rFonts w:hint="eastAsia" w:ascii="宋体" w:hAnsi="宋体" w:eastAsia="宋体" w:cs="仿宋"/>
          <w:kern w:val="0"/>
          <w:sz w:val="24"/>
          <w:lang w:val="zh-CN" w:bidi="zh-CN"/>
        </w:rPr>
        <w:t>）成为鄂西北重要的电子商务枢纽城市。郧阳区位于湖北省十堰市北部，是连接湖北、河南、陕西三省的重要节点。利用郧阳区优越的地理位置，依托现代综合运输体系和当地丰富的自然资源和文化资源，持续建设和完善电商物流基础设施，充分发挥电子商务跨地域、高效率特点，构建鄂西北电子商务的集散和辐射中心。通过电子商务平台的搭建，推动本地特色农产品、手工艺品等走出山区，同时吸引外部优质商品和服务进入郧阳，形成物资和商贸的双向流通，将郧阳区打造成为鄂西北重要的电子商务枢纽城市。</w:t>
      </w:r>
    </w:p>
    <w:p w14:paraId="16E210E2">
      <w:pPr>
        <w:spacing w:line="360" w:lineRule="auto"/>
        <w:ind w:firstLine="480" w:firstLineChars="200"/>
        <w:rPr>
          <w:rFonts w:ascii="宋体" w:hAnsi="宋体" w:eastAsia="宋体" w:cs="Times New Roman"/>
          <w:sz w:val="24"/>
        </w:rPr>
      </w:pPr>
      <w:r>
        <w:rPr>
          <w:rFonts w:hint="eastAsia" w:ascii="宋体" w:hAnsi="宋体" w:eastAsia="宋体" w:cs="仿宋"/>
          <w:kern w:val="0"/>
          <w:sz w:val="24"/>
          <w:lang w:val="zh-CN" w:bidi="zh-CN"/>
        </w:rPr>
        <w:t>（</w:t>
      </w:r>
      <w:r>
        <w:rPr>
          <w:rFonts w:hint="eastAsia" w:ascii="宋体" w:hAnsi="宋体" w:eastAsia="宋体" w:cs="仿宋"/>
          <w:kern w:val="0"/>
          <w:sz w:val="24"/>
          <w:lang w:bidi="zh-CN"/>
        </w:rPr>
        <w:t>二</w:t>
      </w:r>
      <w:r>
        <w:rPr>
          <w:rFonts w:hint="eastAsia" w:ascii="宋体" w:hAnsi="宋体" w:eastAsia="宋体" w:cs="仿宋"/>
          <w:kern w:val="0"/>
          <w:sz w:val="24"/>
          <w:lang w:val="zh-CN" w:bidi="zh-CN"/>
        </w:rPr>
        <w:t>）打造秦巴山区绿色农产品电子商务基地。郧阳区地处秦岭南坡与大巴山东延余脉之间，拥有丰富的绿色农产品资源，</w:t>
      </w:r>
      <w:r>
        <w:rPr>
          <w:rFonts w:ascii="宋体" w:hAnsi="宋体" w:eastAsia="宋体" w:cs="仿宋"/>
          <w:kern w:val="0"/>
          <w:sz w:val="24"/>
          <w:lang w:val="zh-CN" w:bidi="zh-CN"/>
        </w:rPr>
        <w:t>包括高品质的</w:t>
      </w:r>
      <w:r>
        <w:rPr>
          <w:rFonts w:hint="eastAsia" w:ascii="宋体" w:hAnsi="宋体" w:eastAsia="宋体" w:cs="仿宋"/>
          <w:kern w:val="0"/>
          <w:sz w:val="24"/>
          <w:lang w:val="zh-CN" w:bidi="zh-CN"/>
        </w:rPr>
        <w:t>茶叶、中药材、果蔬、香菇、油橄榄等。依托这些资源，充分利用电商平台，</w:t>
      </w:r>
      <w:r>
        <w:rPr>
          <w:rFonts w:ascii="宋体" w:hAnsi="宋体" w:eastAsia="宋体" w:cs="仿宋"/>
          <w:kern w:val="0"/>
          <w:sz w:val="24"/>
          <w:lang w:val="zh-CN" w:bidi="zh-CN"/>
        </w:rPr>
        <w:t>通过实施标准化生产流程、推行品牌化运营策略，并结合高效快捷的物流配送服务，</w:t>
      </w:r>
      <w:r>
        <w:rPr>
          <w:rFonts w:hint="eastAsia" w:ascii="宋体" w:hAnsi="宋体" w:eastAsia="宋体" w:cs="仿宋"/>
          <w:kern w:val="0"/>
          <w:sz w:val="24"/>
          <w:lang w:val="zh-CN" w:bidi="zh-CN"/>
        </w:rPr>
        <w:t>推动绿色农产品走向全国市场。同时，加强农产品供应链的整合和优化，</w:t>
      </w:r>
      <w:r>
        <w:rPr>
          <w:rFonts w:ascii="宋体" w:hAnsi="宋体" w:eastAsia="宋体" w:cs="仿宋"/>
          <w:kern w:val="0"/>
          <w:sz w:val="24"/>
          <w:lang w:val="zh-CN" w:bidi="zh-CN"/>
        </w:rPr>
        <w:t>建立农产品追溯体系，</w:t>
      </w:r>
      <w:r>
        <w:rPr>
          <w:rFonts w:hint="eastAsia" w:ascii="宋体" w:hAnsi="宋体" w:eastAsia="宋体" w:cs="仿宋"/>
          <w:kern w:val="0"/>
          <w:sz w:val="24"/>
          <w:lang w:val="zh-CN" w:bidi="zh-CN"/>
        </w:rPr>
        <w:t>提高农产品的附加值和市场竞争力，将郧阳区打造成为秦巴山区绿色农产品电子商务基地。</w:t>
      </w:r>
    </w:p>
    <w:p w14:paraId="2034DC8B">
      <w:pPr>
        <w:spacing w:line="360" w:lineRule="auto"/>
        <w:ind w:firstLine="480" w:firstLineChars="200"/>
        <w:rPr>
          <w:rFonts w:ascii="宋体" w:hAnsi="宋体" w:eastAsia="宋体" w:cs="仿宋"/>
          <w:kern w:val="0"/>
          <w:sz w:val="24"/>
          <w:lang w:val="zh-CN" w:bidi="zh-CN"/>
        </w:rPr>
      </w:pPr>
      <w:r>
        <w:rPr>
          <w:rFonts w:hint="eastAsia" w:ascii="宋体" w:hAnsi="宋体" w:eastAsia="宋体" w:cs="仿宋"/>
          <w:kern w:val="0"/>
          <w:sz w:val="24"/>
          <w:lang w:val="zh-CN" w:bidi="zh-CN"/>
        </w:rPr>
        <w:t>（</w:t>
      </w:r>
      <w:r>
        <w:rPr>
          <w:rFonts w:hint="eastAsia" w:ascii="宋体" w:hAnsi="宋体" w:eastAsia="宋体" w:cs="仿宋"/>
          <w:kern w:val="0"/>
          <w:sz w:val="24"/>
          <w:lang w:bidi="zh-CN"/>
        </w:rPr>
        <w:t>三</w:t>
      </w:r>
      <w:r>
        <w:rPr>
          <w:rFonts w:hint="eastAsia" w:ascii="宋体" w:hAnsi="宋体" w:eastAsia="宋体" w:cs="仿宋"/>
          <w:kern w:val="0"/>
          <w:sz w:val="24"/>
          <w:lang w:val="zh-CN" w:bidi="zh-CN"/>
        </w:rPr>
        <w:t>）建设</w:t>
      </w:r>
      <w:r>
        <w:rPr>
          <w:rFonts w:hint="eastAsia" w:ascii="宋体" w:hAnsi="宋体" w:eastAsia="宋体" w:cs="仿宋"/>
          <w:kern w:val="0"/>
          <w:sz w:val="24"/>
          <w:lang w:bidi="zh-CN"/>
        </w:rPr>
        <w:t>长</w:t>
      </w:r>
      <w:r>
        <w:rPr>
          <w:rFonts w:hint="eastAsia" w:ascii="宋体" w:hAnsi="宋体" w:eastAsia="宋体" w:cs="仿宋"/>
          <w:kern w:val="0"/>
          <w:sz w:val="24"/>
          <w:lang w:val="zh-CN" w:bidi="zh-CN"/>
        </w:rPr>
        <w:t>江经济带文化旅游电子商务</w:t>
      </w:r>
      <w:r>
        <w:rPr>
          <w:rFonts w:hint="eastAsia" w:ascii="宋体" w:hAnsi="宋体" w:eastAsia="宋体" w:cs="仿宋"/>
          <w:kern w:val="0"/>
          <w:sz w:val="24"/>
          <w:lang w:bidi="zh-CN"/>
        </w:rPr>
        <w:t>基</w:t>
      </w:r>
      <w:r>
        <w:rPr>
          <w:rFonts w:hint="eastAsia" w:ascii="宋体" w:hAnsi="宋体" w:eastAsia="宋体" w:cs="仿宋"/>
          <w:kern w:val="0"/>
          <w:sz w:val="24"/>
          <w:lang w:val="zh-CN" w:bidi="zh-CN"/>
        </w:rPr>
        <w:t>地。郧阳区是长江经济带的重要生态屏障，是国家南水北调中线工程的核心水源区与古郧阳府的历史文化重镇，拥有悠久的历史文化和丰富的旅游资源。应以旅游城市建设与全域旅游示范区创建为核心引擎，以丹江口库区汉江史诗画廊、沧浪山森林康养、汉江生态旅游城建设为突破口，挖掘包装古人类（郧县人）文化、恐龙文化、武当文化、汉水文化、生态调水文化，擦靓郧阳文化旅游品牌，利用电子商务的便捷性和互动性，将郧阳的美丽风光与文化故事推向世界舞台，吸引全球游客的目光，满足游客的多元化需求，将郧阳区打造成为</w:t>
      </w:r>
      <w:r>
        <w:rPr>
          <w:rFonts w:hint="eastAsia" w:ascii="宋体" w:hAnsi="宋体" w:eastAsia="宋体" w:cs="仿宋"/>
          <w:kern w:val="0"/>
          <w:sz w:val="24"/>
          <w:lang w:bidi="zh-CN"/>
        </w:rPr>
        <w:t>长江经济带</w:t>
      </w:r>
      <w:r>
        <w:rPr>
          <w:rFonts w:hint="eastAsia" w:ascii="宋体" w:hAnsi="宋体" w:eastAsia="宋体" w:cs="仿宋"/>
          <w:kern w:val="0"/>
          <w:sz w:val="24"/>
          <w:lang w:val="zh-CN" w:bidi="zh-CN"/>
        </w:rPr>
        <w:t>文化旅游电子商务</w:t>
      </w:r>
      <w:r>
        <w:rPr>
          <w:rFonts w:hint="eastAsia" w:ascii="宋体" w:hAnsi="宋体" w:eastAsia="宋体" w:cs="仿宋"/>
          <w:kern w:val="0"/>
          <w:sz w:val="24"/>
          <w:lang w:bidi="zh-CN"/>
        </w:rPr>
        <w:t>基</w:t>
      </w:r>
      <w:r>
        <w:rPr>
          <w:rFonts w:hint="eastAsia" w:ascii="宋体" w:hAnsi="宋体" w:eastAsia="宋体" w:cs="仿宋"/>
          <w:kern w:val="0"/>
          <w:sz w:val="24"/>
          <w:lang w:val="zh-CN" w:bidi="zh-CN"/>
        </w:rPr>
        <w:t>地。</w:t>
      </w:r>
    </w:p>
    <w:p w14:paraId="37EDEFFF">
      <w:pPr>
        <w:spacing w:line="360" w:lineRule="auto"/>
        <w:ind w:firstLine="480" w:firstLineChars="200"/>
        <w:rPr>
          <w:rFonts w:ascii="宋体" w:hAnsi="宋体" w:eastAsia="宋体" w:cs="仿宋"/>
          <w:kern w:val="0"/>
          <w:sz w:val="24"/>
          <w:lang w:val="zh-CN" w:bidi="zh-CN"/>
        </w:rPr>
      </w:pPr>
      <w:r>
        <w:rPr>
          <w:rFonts w:hint="eastAsia" w:ascii="宋体" w:hAnsi="宋体" w:eastAsia="宋体" w:cs="仿宋"/>
          <w:kern w:val="0"/>
          <w:sz w:val="24"/>
          <w:lang w:val="zh-CN" w:bidi="zh-CN"/>
        </w:rPr>
        <w:t>（</w:t>
      </w:r>
      <w:r>
        <w:rPr>
          <w:rFonts w:hint="eastAsia" w:ascii="宋体" w:hAnsi="宋体" w:eastAsia="宋体" w:cs="仿宋"/>
          <w:kern w:val="0"/>
          <w:sz w:val="24"/>
          <w:lang w:bidi="zh-CN"/>
        </w:rPr>
        <w:t>四</w:t>
      </w:r>
      <w:r>
        <w:rPr>
          <w:rFonts w:hint="eastAsia" w:ascii="宋体" w:hAnsi="宋体" w:eastAsia="宋体" w:cs="仿宋"/>
          <w:kern w:val="0"/>
          <w:sz w:val="24"/>
          <w:lang w:val="zh-CN" w:bidi="zh-CN"/>
        </w:rPr>
        <w:t>）拓展“一带一路”跨境电商新通道。“一带一路”倡议的深入实施为郧阳区的跨境电商发展带来了前所未有的机遇。郧阳区应</w:t>
      </w:r>
      <w:r>
        <w:rPr>
          <w:rFonts w:hint="eastAsia" w:ascii="宋体" w:hAnsi="宋体" w:eastAsia="宋体" w:cs="仿宋"/>
          <w:kern w:val="0"/>
          <w:sz w:val="24"/>
          <w:lang w:bidi="zh-CN"/>
        </w:rPr>
        <w:t>积极响应“一带一路”倡议，</w:t>
      </w:r>
      <w:r>
        <w:rPr>
          <w:rFonts w:hint="eastAsia" w:ascii="宋体" w:hAnsi="宋体" w:eastAsia="宋体" w:cs="仿宋"/>
          <w:kern w:val="0"/>
          <w:sz w:val="24"/>
          <w:lang w:val="zh-CN" w:bidi="zh-CN"/>
        </w:rPr>
        <w:t>拓展跨境电子商务业务。依托十汉欧货运班列这一重要的国际物流通道，加强与国际市场的联系和合作，以及与周边地区的合作，共同打造跨境电商生态圈，推动新能源汽车及零部件、袜子、香菇、黄酒等本地优势产品走出国门，同时引进国外优质商品和服务，满足消费者的多元化需求。发挥十堰北数字电商中心引擎作用，加强跨境电子商务运营，提高跨境电子商务的便利化和效率化水平，将郧阳区打造成为打造“一带一路”跨境电商新通道。</w:t>
      </w:r>
    </w:p>
    <w:p w14:paraId="4BA0DFA1">
      <w:pPr>
        <w:pStyle w:val="3"/>
        <w:rPr>
          <w:rFonts w:asciiTheme="minorEastAsia" w:hAnsiTheme="minorEastAsia" w:eastAsiaTheme="minorEastAsia"/>
          <w:sz w:val="28"/>
          <w:szCs w:val="28"/>
        </w:rPr>
      </w:pPr>
      <w:bookmarkStart w:id="10" w:name="_Toc183083271"/>
      <w:bookmarkStart w:id="11" w:name="_Toc181666856"/>
      <w:r>
        <w:rPr>
          <w:rFonts w:asciiTheme="minorEastAsia" w:hAnsiTheme="minorEastAsia" w:eastAsiaTheme="minorEastAsia"/>
          <w:sz w:val="28"/>
          <w:szCs w:val="28"/>
        </w:rPr>
        <w:t>四、发展目标</w:t>
      </w:r>
      <w:bookmarkEnd w:id="10"/>
      <w:bookmarkEnd w:id="11"/>
    </w:p>
    <w:p w14:paraId="3917F291">
      <w:pPr>
        <w:pStyle w:val="4"/>
        <w:spacing w:before="120" w:after="120" w:line="360" w:lineRule="auto"/>
        <w:rPr>
          <w:sz w:val="24"/>
          <w:szCs w:val="24"/>
        </w:rPr>
      </w:pPr>
      <w:bookmarkStart w:id="12" w:name="_Toc181666857"/>
      <w:r>
        <w:rPr>
          <w:rFonts w:hint="eastAsia"/>
          <w:sz w:val="24"/>
          <w:szCs w:val="24"/>
        </w:rPr>
        <w:t>（一）总体目标</w:t>
      </w:r>
      <w:bookmarkEnd w:id="12"/>
    </w:p>
    <w:p w14:paraId="55F41903">
      <w:pPr>
        <w:spacing w:line="360" w:lineRule="auto"/>
        <w:ind w:firstLine="480" w:firstLineChars="200"/>
        <w:rPr>
          <w:rFonts w:ascii="宋体" w:hAnsi="宋体" w:eastAsia="宋体" w:cs="仿宋"/>
          <w:kern w:val="0"/>
          <w:sz w:val="24"/>
          <w:lang w:val="zh-CN" w:bidi="zh-CN"/>
        </w:rPr>
      </w:pPr>
      <w:r>
        <w:rPr>
          <w:rFonts w:hint="eastAsia" w:ascii="宋体" w:hAnsi="宋体" w:eastAsia="宋体" w:cs="仿宋"/>
          <w:kern w:val="0"/>
          <w:sz w:val="24"/>
          <w:lang w:val="zh-CN" w:bidi="zh-CN"/>
        </w:rPr>
        <w:t>以壮大总量规模、提高发展速度、优化发展质量和提升发展水平为核心，以数字化和智能化改造、平台建设、资源共享、业态创新、产业融合、应用推广、供应链建设为抓手，不断优化电子商务产业结构，加快电子商务服务产业发展，提高电子商务行业应用广度和深度。创新电子商务商业模式，完善电子商务生态系统，加快数字商务深度融入经济社会发展各领域步伐、促进电子商务与实体经济深度融合。积极培育电子商务龙头企业和品牌行业，打造跨境电子商务、工业电子商务、文旅电子商务、农村电子商务特色。通过加粗延长供应链，极力将其拓展成为平台电商的特色产品供应链，进一步增强电子商务产业的竞争力和影响力。最终实现</w:t>
      </w:r>
      <w:r>
        <w:rPr>
          <w:rFonts w:hint="eastAsia" w:ascii="宋体" w:hAnsi="宋体" w:eastAsia="宋体" w:cs="仿宋"/>
          <w:kern w:val="0"/>
          <w:sz w:val="24"/>
          <w:lang w:bidi="zh-CN"/>
        </w:rPr>
        <w:t>郧阳“一个枢纽、两大基地、一个通道”战略定位，成功创建</w:t>
      </w:r>
      <w:r>
        <w:rPr>
          <w:rFonts w:ascii="宋体" w:hAnsi="宋体" w:eastAsia="宋体" w:cs="仿宋"/>
          <w:kern w:val="0"/>
          <w:sz w:val="24"/>
          <w:lang w:val="zh-CN" w:bidi="zh-CN"/>
        </w:rPr>
        <w:t>全国农村电商“领跑县”</w:t>
      </w:r>
      <w:r>
        <w:rPr>
          <w:rFonts w:hint="eastAsia" w:ascii="宋体" w:hAnsi="宋体" w:eastAsia="宋体" w:cs="仿宋"/>
          <w:kern w:val="0"/>
          <w:sz w:val="24"/>
          <w:lang w:val="zh-CN" w:bidi="zh-CN"/>
        </w:rPr>
        <w:t>。</w:t>
      </w:r>
    </w:p>
    <w:p w14:paraId="23DF5AA1">
      <w:pPr>
        <w:pStyle w:val="4"/>
        <w:spacing w:before="120" w:after="120" w:line="360" w:lineRule="auto"/>
        <w:rPr>
          <w:sz w:val="24"/>
          <w:szCs w:val="24"/>
        </w:rPr>
      </w:pPr>
      <w:bookmarkStart w:id="13" w:name="_Toc181666858"/>
      <w:r>
        <w:rPr>
          <w:rFonts w:hint="eastAsia"/>
          <w:sz w:val="24"/>
          <w:szCs w:val="24"/>
        </w:rPr>
        <w:t>（二）具体目标</w:t>
      </w:r>
      <w:bookmarkEnd w:id="13"/>
    </w:p>
    <w:p w14:paraId="6A3D212E">
      <w:pPr>
        <w:spacing w:line="360" w:lineRule="auto"/>
        <w:ind w:firstLine="480" w:firstLineChars="200"/>
        <w:rPr>
          <w:rFonts w:ascii="宋体" w:hAnsi="宋体" w:eastAsia="宋体" w:cs="仿宋"/>
          <w:kern w:val="0"/>
          <w:sz w:val="24"/>
          <w:lang w:bidi="zh-CN"/>
        </w:rPr>
      </w:pPr>
      <w:r>
        <w:rPr>
          <w:rFonts w:ascii="宋体" w:hAnsi="宋体" w:eastAsia="宋体" w:cs="仿宋"/>
          <w:kern w:val="0"/>
          <w:sz w:val="24"/>
          <w:lang w:bidi="zh-CN"/>
        </w:rPr>
        <w:t>1.产业规模保持较快增长</w:t>
      </w:r>
    </w:p>
    <w:p w14:paraId="48323420">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到2</w:t>
      </w:r>
      <w:r>
        <w:rPr>
          <w:rFonts w:ascii="宋体" w:hAnsi="宋体" w:eastAsia="宋体" w:cs="仿宋"/>
          <w:kern w:val="0"/>
          <w:sz w:val="24"/>
          <w:lang w:bidi="zh-CN"/>
        </w:rPr>
        <w:t>027</w:t>
      </w:r>
      <w:r>
        <w:rPr>
          <w:rFonts w:hint="eastAsia" w:ascii="宋体" w:hAnsi="宋体" w:eastAsia="宋体" w:cs="仿宋"/>
          <w:kern w:val="0"/>
          <w:sz w:val="24"/>
          <w:lang w:bidi="zh-CN"/>
        </w:rPr>
        <w:t>年，全区电子商务交易额达4</w:t>
      </w:r>
      <w:r>
        <w:rPr>
          <w:rFonts w:hint="eastAsia" w:ascii="宋体" w:hAnsi="宋体" w:eastAsia="宋体" w:cs="仿宋"/>
          <w:kern w:val="0"/>
          <w:sz w:val="24"/>
          <w:lang w:val="en-US" w:bidi="zh-CN"/>
        </w:rPr>
        <w:t>8.4</w:t>
      </w:r>
      <w:bookmarkStart w:id="101" w:name="_GoBack"/>
      <w:bookmarkEnd w:id="101"/>
      <w:r>
        <w:rPr>
          <w:rFonts w:hint="eastAsia" w:ascii="宋体" w:hAnsi="宋体" w:eastAsia="宋体" w:cs="仿宋"/>
          <w:kern w:val="0"/>
          <w:sz w:val="24"/>
          <w:lang w:bidi="zh-CN"/>
        </w:rPr>
        <w:t>亿元，</w:t>
      </w:r>
      <w:r>
        <w:rPr>
          <w:rFonts w:ascii="宋体" w:hAnsi="宋体" w:eastAsia="宋体" w:cs="仿宋"/>
          <w:kern w:val="0"/>
          <w:sz w:val="24"/>
          <w:lang w:bidi="zh-CN"/>
        </w:rPr>
        <w:t>年均增长16%</w:t>
      </w:r>
      <w:r>
        <w:rPr>
          <w:rFonts w:hint="eastAsia" w:ascii="宋体" w:hAnsi="宋体" w:eastAsia="宋体" w:cs="仿宋"/>
          <w:kern w:val="0"/>
          <w:sz w:val="24"/>
          <w:lang w:bidi="zh-CN"/>
        </w:rPr>
        <w:t>；全区网络零售额（亿元）达2</w:t>
      </w:r>
      <w:r>
        <w:rPr>
          <w:rFonts w:ascii="宋体" w:hAnsi="宋体" w:eastAsia="宋体" w:cs="仿宋"/>
          <w:kern w:val="0"/>
          <w:sz w:val="24"/>
          <w:lang w:bidi="zh-CN"/>
        </w:rPr>
        <w:t>0</w:t>
      </w:r>
      <w:r>
        <w:rPr>
          <w:rFonts w:hint="eastAsia" w:ascii="宋体" w:hAnsi="宋体" w:eastAsia="宋体" w:cs="仿宋"/>
          <w:kern w:val="0"/>
          <w:sz w:val="24"/>
          <w:lang w:bidi="zh-CN"/>
        </w:rPr>
        <w:t>亿元，年均增长2</w:t>
      </w:r>
      <w:r>
        <w:rPr>
          <w:rFonts w:ascii="宋体" w:hAnsi="宋体" w:eastAsia="宋体" w:cs="仿宋"/>
          <w:kern w:val="0"/>
          <w:sz w:val="24"/>
          <w:lang w:bidi="zh-CN"/>
        </w:rPr>
        <w:t>6%</w:t>
      </w:r>
      <w:r>
        <w:rPr>
          <w:rFonts w:hint="eastAsia" w:ascii="宋体" w:hAnsi="宋体" w:eastAsia="宋体" w:cs="仿宋"/>
          <w:kern w:val="0"/>
          <w:sz w:val="24"/>
          <w:lang w:bidi="zh-CN"/>
        </w:rPr>
        <w:t>；全区农产品网络零售额达3</w:t>
      </w:r>
      <w:r>
        <w:rPr>
          <w:rFonts w:ascii="宋体" w:hAnsi="宋体" w:eastAsia="宋体" w:cs="仿宋"/>
          <w:kern w:val="0"/>
          <w:sz w:val="24"/>
          <w:lang w:bidi="zh-CN"/>
        </w:rPr>
        <w:t>.65</w:t>
      </w:r>
      <w:r>
        <w:rPr>
          <w:rFonts w:hint="eastAsia" w:ascii="宋体" w:hAnsi="宋体" w:eastAsia="宋体" w:cs="仿宋"/>
          <w:kern w:val="0"/>
          <w:sz w:val="24"/>
          <w:lang w:bidi="zh-CN"/>
        </w:rPr>
        <w:t>亿元，年均增长1</w:t>
      </w:r>
      <w:r>
        <w:rPr>
          <w:rFonts w:ascii="宋体" w:hAnsi="宋体" w:eastAsia="宋体" w:cs="仿宋"/>
          <w:kern w:val="0"/>
          <w:sz w:val="24"/>
          <w:lang w:bidi="zh-CN"/>
        </w:rPr>
        <w:t>5%</w:t>
      </w:r>
      <w:r>
        <w:rPr>
          <w:rFonts w:hint="eastAsia" w:ascii="宋体" w:hAnsi="宋体" w:eastAsia="宋体" w:cs="仿宋"/>
          <w:kern w:val="0"/>
          <w:sz w:val="24"/>
          <w:lang w:bidi="zh-CN"/>
        </w:rPr>
        <w:t>；相关从业人员达到3</w:t>
      </w:r>
      <w:r>
        <w:rPr>
          <w:rFonts w:ascii="宋体" w:hAnsi="宋体" w:eastAsia="宋体" w:cs="仿宋"/>
          <w:kern w:val="0"/>
          <w:sz w:val="24"/>
          <w:lang w:bidi="zh-CN"/>
        </w:rPr>
        <w:t>.3</w:t>
      </w:r>
      <w:r>
        <w:rPr>
          <w:rFonts w:hint="eastAsia" w:ascii="宋体" w:hAnsi="宋体" w:eastAsia="宋体" w:cs="仿宋"/>
          <w:kern w:val="0"/>
          <w:sz w:val="24"/>
          <w:lang w:bidi="zh-CN"/>
        </w:rPr>
        <w:t>万人，</w:t>
      </w:r>
      <w:r>
        <w:rPr>
          <w:rFonts w:ascii="宋体" w:hAnsi="宋体" w:eastAsia="宋体" w:cs="仿宋"/>
          <w:kern w:val="0"/>
          <w:sz w:val="24"/>
          <w:lang w:bidi="zh-CN"/>
        </w:rPr>
        <w:t>年均增长</w:t>
      </w:r>
      <w:r>
        <w:rPr>
          <w:rFonts w:hint="eastAsia" w:ascii="宋体" w:hAnsi="宋体" w:eastAsia="宋体" w:cs="仿宋"/>
          <w:kern w:val="0"/>
          <w:sz w:val="24"/>
          <w:lang w:bidi="zh-CN"/>
        </w:rPr>
        <w:t>18%</w:t>
      </w:r>
      <w:r>
        <w:rPr>
          <w:rFonts w:ascii="宋体" w:hAnsi="宋体" w:eastAsia="宋体" w:cs="仿宋"/>
          <w:kern w:val="0"/>
          <w:sz w:val="24"/>
          <w:lang w:bidi="zh-CN"/>
        </w:rPr>
        <w:t>以上</w:t>
      </w:r>
      <w:r>
        <w:rPr>
          <w:rFonts w:hint="eastAsia" w:ascii="宋体" w:hAnsi="宋体" w:eastAsia="宋体" w:cs="仿宋"/>
          <w:kern w:val="0"/>
          <w:sz w:val="24"/>
          <w:lang w:bidi="zh-CN"/>
        </w:rPr>
        <w:t>。</w:t>
      </w:r>
    </w:p>
    <w:p w14:paraId="3FB53966">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2</w:t>
      </w:r>
      <w:r>
        <w:rPr>
          <w:rFonts w:ascii="宋体" w:hAnsi="宋体" w:eastAsia="宋体" w:cs="仿宋"/>
          <w:kern w:val="0"/>
          <w:sz w:val="24"/>
          <w:lang w:bidi="zh-CN"/>
        </w:rPr>
        <w:t>.产业带动效应明显提升</w:t>
      </w:r>
    </w:p>
    <w:p w14:paraId="211E744F">
      <w:pPr>
        <w:spacing w:line="360" w:lineRule="auto"/>
        <w:ind w:firstLine="480" w:firstLineChars="200"/>
        <w:rPr>
          <w:rFonts w:ascii="宋体" w:hAnsi="宋体" w:eastAsia="宋体" w:cs="仿宋"/>
          <w:kern w:val="0"/>
          <w:sz w:val="24"/>
          <w:lang w:bidi="zh-CN"/>
        </w:rPr>
      </w:pPr>
      <w:r>
        <w:rPr>
          <w:rFonts w:ascii="宋体" w:hAnsi="宋体" w:eastAsia="宋体" w:cs="仿宋"/>
          <w:kern w:val="0"/>
          <w:sz w:val="24"/>
          <w:lang w:bidi="zh-CN"/>
        </w:rPr>
        <w:t>到202</w:t>
      </w:r>
      <w:r>
        <w:rPr>
          <w:rFonts w:hint="eastAsia" w:ascii="宋体" w:hAnsi="宋体" w:eastAsia="宋体" w:cs="仿宋"/>
          <w:kern w:val="0"/>
          <w:sz w:val="24"/>
          <w:lang w:bidi="zh-CN"/>
        </w:rPr>
        <w:t>7</w:t>
      </w:r>
      <w:r>
        <w:rPr>
          <w:rFonts w:ascii="宋体" w:hAnsi="宋体" w:eastAsia="宋体" w:cs="仿宋"/>
          <w:kern w:val="0"/>
          <w:sz w:val="24"/>
          <w:lang w:bidi="zh-CN"/>
        </w:rPr>
        <w:t>年，电子商务与一二三产业加速融合，成为助力传统产业转型升级和乡村振兴的重要力量，数字经济发展水平居全</w:t>
      </w:r>
      <w:r>
        <w:rPr>
          <w:rFonts w:hint="eastAsia" w:ascii="宋体" w:hAnsi="宋体" w:eastAsia="宋体" w:cs="仿宋"/>
          <w:kern w:val="0"/>
          <w:sz w:val="24"/>
          <w:lang w:bidi="zh-CN"/>
        </w:rPr>
        <w:t>市</w:t>
      </w:r>
      <w:r>
        <w:rPr>
          <w:rFonts w:ascii="宋体" w:hAnsi="宋体" w:eastAsia="宋体" w:cs="仿宋"/>
          <w:kern w:val="0"/>
          <w:sz w:val="24"/>
          <w:lang w:bidi="zh-CN"/>
        </w:rPr>
        <w:t>前列。</w:t>
      </w:r>
      <w:r>
        <w:rPr>
          <w:rFonts w:hint="eastAsia" w:ascii="宋体" w:hAnsi="宋体" w:eastAsia="宋体" w:cs="仿宋"/>
          <w:kern w:val="0"/>
          <w:sz w:val="24"/>
          <w:lang w:bidi="zh-CN"/>
        </w:rPr>
        <w:t>创建</w:t>
      </w:r>
      <w:r>
        <w:rPr>
          <w:rFonts w:ascii="宋体" w:hAnsi="宋体" w:eastAsia="宋体" w:cs="仿宋"/>
          <w:kern w:val="0"/>
          <w:sz w:val="24"/>
          <w:lang w:bidi="zh-CN"/>
        </w:rPr>
        <w:t>省级电子商务示范企业</w:t>
      </w:r>
      <w:r>
        <w:rPr>
          <w:rFonts w:hint="eastAsia" w:ascii="宋体" w:hAnsi="宋体" w:eastAsia="宋体" w:cs="仿宋"/>
          <w:kern w:val="0"/>
          <w:sz w:val="24"/>
          <w:lang w:bidi="zh-CN"/>
        </w:rPr>
        <w:t>2</w:t>
      </w:r>
      <w:r>
        <w:rPr>
          <w:rFonts w:ascii="宋体" w:hAnsi="宋体" w:eastAsia="宋体" w:cs="仿宋"/>
          <w:kern w:val="0"/>
          <w:sz w:val="24"/>
          <w:lang w:bidi="zh-CN"/>
        </w:rPr>
        <w:t>家</w:t>
      </w:r>
      <w:r>
        <w:rPr>
          <w:rFonts w:hint="eastAsia" w:ascii="宋体" w:hAnsi="宋体" w:eastAsia="宋体" w:cs="仿宋"/>
          <w:kern w:val="0"/>
          <w:sz w:val="24"/>
          <w:lang w:bidi="zh-CN"/>
        </w:rPr>
        <w:t>、国家</w:t>
      </w:r>
      <w:r>
        <w:rPr>
          <w:rFonts w:ascii="宋体" w:hAnsi="宋体" w:eastAsia="宋体" w:cs="仿宋"/>
          <w:kern w:val="0"/>
          <w:sz w:val="24"/>
          <w:lang w:bidi="zh-CN"/>
        </w:rPr>
        <w:t>级电子商务示范企业</w:t>
      </w:r>
      <w:r>
        <w:rPr>
          <w:rFonts w:hint="eastAsia" w:ascii="宋体" w:hAnsi="宋体" w:eastAsia="宋体" w:cs="仿宋"/>
          <w:kern w:val="0"/>
          <w:sz w:val="24"/>
          <w:lang w:bidi="zh-CN"/>
        </w:rPr>
        <w:t>1</w:t>
      </w:r>
      <w:r>
        <w:rPr>
          <w:rFonts w:ascii="宋体" w:hAnsi="宋体" w:eastAsia="宋体" w:cs="仿宋"/>
          <w:kern w:val="0"/>
          <w:sz w:val="24"/>
          <w:lang w:bidi="zh-CN"/>
        </w:rPr>
        <w:t>家</w:t>
      </w:r>
      <w:r>
        <w:rPr>
          <w:rFonts w:hint="eastAsia" w:ascii="宋体" w:hAnsi="宋体" w:eastAsia="宋体" w:cs="仿宋"/>
          <w:kern w:val="0"/>
          <w:sz w:val="24"/>
          <w:lang w:bidi="zh-CN"/>
        </w:rPr>
        <w:t>、国家级</w:t>
      </w:r>
      <w:r>
        <w:rPr>
          <w:rFonts w:ascii="宋体" w:hAnsi="宋体" w:eastAsia="宋体" w:cs="仿宋"/>
          <w:kern w:val="0"/>
          <w:sz w:val="24"/>
          <w:lang w:bidi="zh-CN"/>
        </w:rPr>
        <w:t>数字化商贸流通龙头企业1</w:t>
      </w:r>
      <w:r>
        <w:rPr>
          <w:rFonts w:hint="eastAsia" w:ascii="宋体" w:hAnsi="宋体" w:eastAsia="宋体" w:cs="仿宋"/>
          <w:kern w:val="0"/>
          <w:sz w:val="24"/>
          <w:lang w:bidi="zh-CN"/>
        </w:rPr>
        <w:t>家、全国县域直播电商中心(村播学院)</w:t>
      </w:r>
      <w:r>
        <w:rPr>
          <w:rFonts w:ascii="宋体" w:hAnsi="宋体" w:eastAsia="宋体" w:cs="仿宋"/>
          <w:kern w:val="0"/>
          <w:sz w:val="24"/>
          <w:lang w:bidi="zh-CN"/>
        </w:rPr>
        <w:t>1</w:t>
      </w:r>
      <w:r>
        <w:rPr>
          <w:rFonts w:hint="eastAsia" w:ascii="宋体" w:hAnsi="宋体" w:eastAsia="宋体" w:cs="仿宋"/>
          <w:kern w:val="0"/>
          <w:sz w:val="24"/>
          <w:lang w:bidi="zh-CN"/>
        </w:rPr>
        <w:t>家、省级电子商务示范基地</w:t>
      </w:r>
      <w:r>
        <w:rPr>
          <w:rFonts w:ascii="宋体" w:hAnsi="宋体" w:eastAsia="宋体" w:cs="仿宋"/>
          <w:kern w:val="0"/>
          <w:sz w:val="24"/>
          <w:lang w:bidi="zh-CN"/>
        </w:rPr>
        <w:t>1</w:t>
      </w:r>
      <w:r>
        <w:rPr>
          <w:rFonts w:hint="eastAsia" w:ascii="宋体" w:hAnsi="宋体" w:eastAsia="宋体" w:cs="仿宋"/>
          <w:kern w:val="0"/>
          <w:sz w:val="24"/>
          <w:lang w:bidi="zh-CN"/>
        </w:rPr>
        <w:t>个、国家级电子商务示范基地1个。</w:t>
      </w:r>
      <w:r>
        <w:rPr>
          <w:rFonts w:ascii="宋体" w:hAnsi="宋体" w:eastAsia="宋体" w:cs="仿宋"/>
          <w:kern w:val="0"/>
          <w:sz w:val="24"/>
          <w:lang w:bidi="zh-CN"/>
        </w:rPr>
        <w:t>电商快递业务量年均增长</w:t>
      </w:r>
      <w:r>
        <w:rPr>
          <w:rFonts w:hint="eastAsia" w:ascii="宋体" w:hAnsi="宋体" w:eastAsia="宋体" w:cs="仿宋"/>
          <w:kern w:val="0"/>
          <w:sz w:val="24"/>
          <w:lang w:bidi="zh-CN"/>
        </w:rPr>
        <w:t>2</w:t>
      </w:r>
      <w:r>
        <w:rPr>
          <w:rFonts w:ascii="宋体" w:hAnsi="宋体" w:eastAsia="宋体" w:cs="仿宋"/>
          <w:kern w:val="0"/>
          <w:sz w:val="24"/>
          <w:lang w:bidi="zh-CN"/>
        </w:rPr>
        <w:t>0%以上。</w:t>
      </w:r>
    </w:p>
    <w:p w14:paraId="5DFDD4CD">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3</w:t>
      </w:r>
      <w:r>
        <w:rPr>
          <w:rFonts w:ascii="宋体" w:hAnsi="宋体" w:eastAsia="宋体" w:cs="仿宋"/>
          <w:kern w:val="0"/>
          <w:sz w:val="24"/>
          <w:lang w:bidi="zh-CN"/>
        </w:rPr>
        <w:t>.主体培育取得明显成效</w:t>
      </w:r>
    </w:p>
    <w:p w14:paraId="39AE0CFA">
      <w:pPr>
        <w:spacing w:line="360" w:lineRule="auto"/>
        <w:ind w:firstLine="480" w:firstLineChars="200"/>
        <w:rPr>
          <w:rFonts w:ascii="宋体" w:hAnsi="宋体" w:eastAsia="宋体" w:cs="仿宋"/>
          <w:kern w:val="0"/>
          <w:sz w:val="24"/>
          <w:lang w:bidi="zh-CN"/>
        </w:rPr>
      </w:pPr>
      <w:r>
        <w:rPr>
          <w:rFonts w:ascii="宋体" w:hAnsi="宋体" w:eastAsia="宋体" w:cs="仿宋"/>
          <w:kern w:val="0"/>
          <w:sz w:val="24"/>
          <w:lang w:bidi="zh-CN"/>
        </w:rPr>
        <w:t>到202</w:t>
      </w:r>
      <w:r>
        <w:rPr>
          <w:rFonts w:hint="eastAsia" w:ascii="宋体" w:hAnsi="宋体" w:eastAsia="宋体" w:cs="仿宋"/>
          <w:kern w:val="0"/>
          <w:sz w:val="24"/>
          <w:lang w:bidi="zh-CN"/>
        </w:rPr>
        <w:t>7</w:t>
      </w:r>
      <w:r>
        <w:rPr>
          <w:rFonts w:ascii="宋体" w:hAnsi="宋体" w:eastAsia="宋体" w:cs="仿宋"/>
          <w:kern w:val="0"/>
          <w:sz w:val="24"/>
          <w:lang w:bidi="zh-CN"/>
        </w:rPr>
        <w:t>年，培育2-3家电子商务交易额过亿元的企业，75%以上的规模以上工业企业和限额以上商贸企业应用电子商务，中小企业电子商务应用普及率达到70%以上</w:t>
      </w:r>
      <w:r>
        <w:rPr>
          <w:rFonts w:hint="eastAsia" w:ascii="宋体" w:hAnsi="宋体" w:eastAsia="宋体" w:cs="仿宋"/>
          <w:kern w:val="0"/>
          <w:sz w:val="24"/>
          <w:lang w:bidi="zh-CN"/>
        </w:rPr>
        <w:t>；累计电商培训总人次1</w:t>
      </w:r>
      <w:r>
        <w:rPr>
          <w:rFonts w:ascii="宋体" w:hAnsi="宋体" w:eastAsia="宋体" w:cs="仿宋"/>
          <w:kern w:val="0"/>
          <w:sz w:val="24"/>
          <w:lang w:bidi="zh-CN"/>
        </w:rPr>
        <w:t>.3</w:t>
      </w:r>
      <w:r>
        <w:rPr>
          <w:rFonts w:hint="eastAsia" w:ascii="宋体" w:hAnsi="宋体" w:eastAsia="宋体" w:cs="仿宋"/>
          <w:kern w:val="0"/>
          <w:sz w:val="24"/>
          <w:lang w:bidi="zh-CN"/>
        </w:rPr>
        <w:t>万，培育20名左右国家级农村电商带头人。</w:t>
      </w:r>
    </w:p>
    <w:p w14:paraId="7E30E6AF">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4</w:t>
      </w:r>
      <w:r>
        <w:rPr>
          <w:rFonts w:ascii="宋体" w:hAnsi="宋体" w:eastAsia="宋体" w:cs="仿宋"/>
          <w:kern w:val="0"/>
          <w:sz w:val="24"/>
          <w:lang w:bidi="zh-CN"/>
        </w:rPr>
        <w:t>.服务民生成效更加显著</w:t>
      </w:r>
    </w:p>
    <w:p w14:paraId="60110471">
      <w:pPr>
        <w:spacing w:line="360" w:lineRule="auto"/>
        <w:ind w:firstLine="480" w:firstLineChars="200"/>
        <w:rPr>
          <w:rFonts w:ascii="宋体" w:hAnsi="宋体" w:eastAsia="宋体" w:cs="仿宋"/>
          <w:kern w:val="0"/>
          <w:sz w:val="24"/>
          <w:lang w:bidi="zh-CN"/>
        </w:rPr>
      </w:pPr>
      <w:r>
        <w:rPr>
          <w:rFonts w:ascii="宋体" w:hAnsi="宋体" w:eastAsia="宋体" w:cs="仿宋"/>
          <w:kern w:val="0"/>
          <w:sz w:val="24"/>
          <w:lang w:bidi="zh-CN"/>
        </w:rPr>
        <w:t>到202</w:t>
      </w:r>
      <w:r>
        <w:rPr>
          <w:rFonts w:hint="eastAsia" w:ascii="宋体" w:hAnsi="宋体" w:eastAsia="宋体" w:cs="仿宋"/>
          <w:kern w:val="0"/>
          <w:sz w:val="24"/>
          <w:lang w:bidi="zh-CN"/>
        </w:rPr>
        <w:t>7</w:t>
      </w:r>
      <w:r>
        <w:rPr>
          <w:rFonts w:ascii="宋体" w:hAnsi="宋体" w:eastAsia="宋体" w:cs="仿宋"/>
          <w:kern w:val="0"/>
          <w:sz w:val="24"/>
          <w:lang w:bidi="zh-CN"/>
        </w:rPr>
        <w:t>年，电子商务成为创新创业、灵活就业、普惠就业新渠道，电子商务相关从业人数</w:t>
      </w:r>
      <w:r>
        <w:rPr>
          <w:rFonts w:hint="eastAsia" w:ascii="宋体" w:hAnsi="宋体" w:eastAsia="宋体" w:cs="仿宋"/>
          <w:kern w:val="0"/>
          <w:sz w:val="24"/>
          <w:lang w:bidi="zh-CN"/>
        </w:rPr>
        <w:t>达</w:t>
      </w:r>
      <w:r>
        <w:rPr>
          <w:rFonts w:ascii="宋体" w:hAnsi="宋体" w:eastAsia="宋体" w:cs="仿宋"/>
          <w:kern w:val="0"/>
          <w:sz w:val="24"/>
          <w:lang w:bidi="zh-CN"/>
        </w:rPr>
        <w:t>3.3万。电子商务成为便民服务新方式，在线教育、在线医疗等民生服务日益普及。电子商务推动城乡协调发展作用进一步增强，农产品进城和工业品下乡双向渠道进一步畅通，农村快递物流费用显著下降。</w:t>
      </w:r>
    </w:p>
    <w:p w14:paraId="7446CCEC">
      <w:pPr>
        <w:spacing w:line="360" w:lineRule="auto"/>
        <w:ind w:firstLine="480" w:firstLineChars="200"/>
        <w:rPr>
          <w:rFonts w:ascii="宋体" w:hAnsi="宋体" w:eastAsia="宋体" w:cs="仿宋"/>
          <w:kern w:val="0"/>
          <w:sz w:val="24"/>
          <w:lang w:val="zh-CN" w:bidi="zh-CN"/>
        </w:rPr>
      </w:pPr>
      <w:r>
        <w:rPr>
          <w:rFonts w:hint="eastAsia" w:ascii="宋体" w:hAnsi="宋体" w:eastAsia="宋体" w:cs="仿宋"/>
          <w:kern w:val="0"/>
          <w:sz w:val="24"/>
          <w:lang w:val="zh-CN" w:bidi="zh-CN"/>
        </w:rPr>
        <w:t>根据</w:t>
      </w:r>
      <w:r>
        <w:rPr>
          <w:rFonts w:hint="eastAsia" w:ascii="宋体" w:hAnsi="宋体" w:eastAsia="宋体" w:cs="仿宋"/>
          <w:kern w:val="0"/>
          <w:sz w:val="24"/>
          <w:lang w:val="en-US" w:bidi="zh-CN"/>
        </w:rPr>
        <w:t>全</w:t>
      </w:r>
      <w:r>
        <w:rPr>
          <w:rFonts w:hint="eastAsia" w:ascii="宋体" w:hAnsi="宋体" w:eastAsia="宋体" w:cs="仿宋"/>
          <w:kern w:val="0"/>
          <w:sz w:val="24"/>
          <w:lang w:val="zh-CN" w:bidi="zh-CN"/>
        </w:rPr>
        <w:t>区电子商务发展目标，结合电子商务发展水平测度和电子商务相关支持项目评价指标，拟定以下主要指标和量化目标。</w:t>
      </w:r>
    </w:p>
    <w:p w14:paraId="23B4F590">
      <w:pPr>
        <w:autoSpaceDE w:val="0"/>
        <w:autoSpaceDN w:val="0"/>
        <w:spacing w:before="108" w:after="2" w:line="360" w:lineRule="auto"/>
        <w:ind w:left="218" w:right="277"/>
        <w:jc w:val="center"/>
        <w:rPr>
          <w:rFonts w:ascii="宋体" w:hAnsi="宋体" w:eastAsia="宋体" w:cs="仿宋"/>
          <w:kern w:val="0"/>
          <w:sz w:val="24"/>
          <w:lang w:val="zh-CN" w:bidi="zh-CN"/>
        </w:rPr>
      </w:pPr>
      <w:r>
        <w:rPr>
          <w:rFonts w:hint="eastAsia" w:ascii="宋体" w:hAnsi="宋体" w:eastAsia="宋体" w:cs="仿宋"/>
          <w:kern w:val="0"/>
          <w:sz w:val="24"/>
          <w:lang w:val="zh-CN" w:bidi="zh-CN"/>
        </w:rPr>
        <w:t xml:space="preserve">表 </w:t>
      </w:r>
      <w:r>
        <w:rPr>
          <w:rFonts w:hint="eastAsia" w:ascii="宋体" w:hAnsi="宋体" w:eastAsia="宋体" w:cs="仿宋"/>
          <w:kern w:val="0"/>
          <w:sz w:val="24"/>
          <w:lang w:bidi="zh-CN"/>
        </w:rPr>
        <w:t>2</w:t>
      </w:r>
      <w:r>
        <w:rPr>
          <w:rFonts w:hint="eastAsia" w:ascii="宋体" w:hAnsi="宋体" w:eastAsia="宋体" w:cs="仿宋"/>
          <w:kern w:val="0"/>
          <w:sz w:val="24"/>
          <w:lang w:val="zh-CN" w:bidi="zh-CN"/>
        </w:rPr>
        <w:t>-1 郧阳区电子商务发展规划（2025-2027）主要指标</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4111"/>
        <w:gridCol w:w="921"/>
        <w:gridCol w:w="922"/>
        <w:gridCol w:w="850"/>
      </w:tblGrid>
      <w:tr w14:paraId="7B9B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7F49C66">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类别</w:t>
            </w:r>
          </w:p>
        </w:tc>
        <w:tc>
          <w:tcPr>
            <w:tcW w:w="4111" w:type="dxa"/>
            <w:vAlign w:val="center"/>
          </w:tcPr>
          <w:p w14:paraId="2C0C7F78">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指标名称</w:t>
            </w:r>
          </w:p>
        </w:tc>
        <w:tc>
          <w:tcPr>
            <w:tcW w:w="921" w:type="dxa"/>
            <w:vAlign w:val="center"/>
          </w:tcPr>
          <w:p w14:paraId="0C6E8194">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2</w:t>
            </w:r>
            <w:r>
              <w:rPr>
                <w:rFonts w:ascii="宋体" w:hAnsi="宋体" w:eastAsia="宋体" w:cs="仿宋"/>
                <w:kern w:val="0"/>
                <w:szCs w:val="21"/>
                <w:lang w:bidi="zh-CN"/>
              </w:rPr>
              <w:t>024</w:t>
            </w:r>
            <w:r>
              <w:rPr>
                <w:rFonts w:hint="eastAsia" w:ascii="宋体" w:hAnsi="宋体" w:eastAsia="宋体" w:cs="仿宋"/>
                <w:kern w:val="0"/>
                <w:szCs w:val="21"/>
                <w:lang w:bidi="zh-CN"/>
              </w:rPr>
              <w:t>年</w:t>
            </w:r>
          </w:p>
        </w:tc>
        <w:tc>
          <w:tcPr>
            <w:tcW w:w="922" w:type="dxa"/>
            <w:vAlign w:val="center"/>
          </w:tcPr>
          <w:p w14:paraId="7AD7870F">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2027年</w:t>
            </w:r>
          </w:p>
        </w:tc>
        <w:tc>
          <w:tcPr>
            <w:tcW w:w="850" w:type="dxa"/>
            <w:vAlign w:val="center"/>
          </w:tcPr>
          <w:p w14:paraId="714F80F5">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备注</w:t>
            </w:r>
          </w:p>
        </w:tc>
      </w:tr>
      <w:tr w14:paraId="0AB3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62137BC0">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总规模</w:t>
            </w:r>
          </w:p>
        </w:tc>
        <w:tc>
          <w:tcPr>
            <w:tcW w:w="4111" w:type="dxa"/>
            <w:vAlign w:val="center"/>
          </w:tcPr>
          <w:p w14:paraId="2A1A0AC2">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电子商务交易额（亿元）</w:t>
            </w:r>
          </w:p>
        </w:tc>
        <w:tc>
          <w:tcPr>
            <w:tcW w:w="921" w:type="dxa"/>
            <w:vAlign w:val="center"/>
          </w:tcPr>
          <w:p w14:paraId="17763684">
            <w:pPr>
              <w:spacing w:line="360" w:lineRule="auto"/>
              <w:jc w:val="center"/>
              <w:rPr>
                <w:rFonts w:ascii="宋体" w:hAnsi="宋体" w:eastAsia="宋体" w:cs="仿宋"/>
                <w:kern w:val="0"/>
                <w:szCs w:val="21"/>
                <w:lang w:bidi="zh-CN"/>
              </w:rPr>
            </w:pPr>
            <w:r>
              <w:rPr>
                <w:rFonts w:ascii="宋体" w:hAnsi="宋体" w:eastAsia="宋体" w:cs="仿宋"/>
                <w:kern w:val="0"/>
                <w:szCs w:val="21"/>
                <w:lang w:bidi="zh-CN"/>
              </w:rPr>
              <w:t>31</w:t>
            </w:r>
          </w:p>
        </w:tc>
        <w:tc>
          <w:tcPr>
            <w:tcW w:w="922" w:type="dxa"/>
            <w:vAlign w:val="center"/>
          </w:tcPr>
          <w:p w14:paraId="3F0A881A">
            <w:pPr>
              <w:spacing w:line="360" w:lineRule="auto"/>
              <w:jc w:val="center"/>
              <w:rPr>
                <w:rFonts w:hint="default" w:ascii="宋体" w:hAnsi="宋体" w:eastAsia="宋体" w:cs="仿宋"/>
                <w:kern w:val="0"/>
                <w:szCs w:val="21"/>
                <w:lang w:val="en-US" w:bidi="zh-CN"/>
              </w:rPr>
            </w:pPr>
            <w:r>
              <w:rPr>
                <w:rFonts w:ascii="宋体" w:hAnsi="宋体" w:eastAsia="宋体" w:cs="仿宋"/>
                <w:kern w:val="0"/>
                <w:szCs w:val="21"/>
                <w:lang w:bidi="zh-CN"/>
              </w:rPr>
              <w:t>4</w:t>
            </w:r>
            <w:r>
              <w:rPr>
                <w:rFonts w:hint="eastAsia" w:ascii="宋体" w:hAnsi="宋体" w:eastAsia="宋体" w:cs="仿宋"/>
                <w:kern w:val="0"/>
                <w:szCs w:val="21"/>
                <w:lang w:val="en-US" w:bidi="zh-CN"/>
              </w:rPr>
              <w:t>8.4</w:t>
            </w:r>
          </w:p>
        </w:tc>
        <w:tc>
          <w:tcPr>
            <w:tcW w:w="850" w:type="dxa"/>
            <w:vAlign w:val="center"/>
          </w:tcPr>
          <w:p w14:paraId="7BCC2731">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预期性</w:t>
            </w:r>
          </w:p>
        </w:tc>
      </w:tr>
      <w:tr w14:paraId="0C35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59CADA2">
            <w:pPr>
              <w:spacing w:line="360" w:lineRule="auto"/>
              <w:jc w:val="center"/>
              <w:rPr>
                <w:rFonts w:ascii="宋体" w:hAnsi="宋体" w:eastAsia="宋体" w:cs="仿宋"/>
                <w:kern w:val="0"/>
                <w:szCs w:val="21"/>
                <w:lang w:bidi="zh-CN"/>
              </w:rPr>
            </w:pPr>
          </w:p>
        </w:tc>
        <w:tc>
          <w:tcPr>
            <w:tcW w:w="4111" w:type="dxa"/>
            <w:vAlign w:val="center"/>
          </w:tcPr>
          <w:p w14:paraId="085C4AB9">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网络零售额（亿元）</w:t>
            </w:r>
          </w:p>
        </w:tc>
        <w:tc>
          <w:tcPr>
            <w:tcW w:w="921" w:type="dxa"/>
            <w:vAlign w:val="center"/>
          </w:tcPr>
          <w:p w14:paraId="17040133">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1</w:t>
            </w:r>
            <w:r>
              <w:rPr>
                <w:rFonts w:ascii="宋体" w:hAnsi="宋体" w:eastAsia="宋体" w:cs="仿宋"/>
                <w:kern w:val="0"/>
                <w:szCs w:val="21"/>
                <w:lang w:bidi="zh-CN"/>
              </w:rPr>
              <w:t>0</w:t>
            </w:r>
          </w:p>
        </w:tc>
        <w:tc>
          <w:tcPr>
            <w:tcW w:w="922" w:type="dxa"/>
            <w:vAlign w:val="center"/>
          </w:tcPr>
          <w:p w14:paraId="33AE8302">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2</w:t>
            </w:r>
            <w:r>
              <w:rPr>
                <w:rFonts w:ascii="宋体" w:hAnsi="宋体" w:eastAsia="宋体" w:cs="仿宋"/>
                <w:kern w:val="0"/>
                <w:szCs w:val="21"/>
                <w:lang w:bidi="zh-CN"/>
              </w:rPr>
              <w:t>0</w:t>
            </w:r>
          </w:p>
        </w:tc>
        <w:tc>
          <w:tcPr>
            <w:tcW w:w="850" w:type="dxa"/>
            <w:vAlign w:val="center"/>
          </w:tcPr>
          <w:p w14:paraId="70FC1C9F">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预期性</w:t>
            </w:r>
          </w:p>
        </w:tc>
      </w:tr>
      <w:tr w14:paraId="0F61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2E2C629B">
            <w:pPr>
              <w:spacing w:line="360" w:lineRule="auto"/>
              <w:jc w:val="center"/>
              <w:rPr>
                <w:rFonts w:ascii="宋体" w:hAnsi="宋体" w:eastAsia="宋体" w:cs="仿宋"/>
                <w:kern w:val="0"/>
                <w:szCs w:val="21"/>
                <w:lang w:bidi="zh-CN"/>
              </w:rPr>
            </w:pPr>
          </w:p>
        </w:tc>
        <w:tc>
          <w:tcPr>
            <w:tcW w:w="4111" w:type="dxa"/>
            <w:vAlign w:val="center"/>
          </w:tcPr>
          <w:p w14:paraId="4036B369">
            <w:pPr>
              <w:spacing w:line="360" w:lineRule="auto"/>
              <w:jc w:val="center"/>
              <w:rPr>
                <w:rFonts w:ascii="宋体" w:hAnsi="宋体" w:eastAsia="宋体" w:cs="仿宋"/>
                <w:kern w:val="0"/>
                <w:szCs w:val="21"/>
                <w:lang w:bidi="zh-CN"/>
              </w:rPr>
            </w:pPr>
            <w:r>
              <w:rPr>
                <w:rFonts w:hint="eastAsia"/>
              </w:rPr>
              <w:t>农产品网络零售额</w:t>
            </w:r>
            <w:r>
              <w:rPr>
                <w:rFonts w:hint="eastAsia" w:ascii="宋体" w:hAnsi="宋体" w:eastAsia="宋体" w:cs="仿宋"/>
                <w:kern w:val="0"/>
                <w:szCs w:val="21"/>
                <w:lang w:bidi="zh-CN"/>
              </w:rPr>
              <w:t>（亿元）</w:t>
            </w:r>
          </w:p>
        </w:tc>
        <w:tc>
          <w:tcPr>
            <w:tcW w:w="921" w:type="dxa"/>
            <w:vAlign w:val="center"/>
          </w:tcPr>
          <w:p w14:paraId="65889796">
            <w:pPr>
              <w:spacing w:line="360" w:lineRule="auto"/>
              <w:jc w:val="center"/>
              <w:rPr>
                <w:rFonts w:ascii="宋体" w:hAnsi="宋体" w:eastAsia="宋体" w:cs="仿宋"/>
                <w:kern w:val="0"/>
                <w:szCs w:val="21"/>
                <w:lang w:bidi="zh-CN"/>
              </w:rPr>
            </w:pPr>
            <w:r>
              <w:rPr>
                <w:rFonts w:ascii="宋体" w:hAnsi="宋体" w:eastAsia="宋体" w:cs="仿宋"/>
                <w:kern w:val="0"/>
                <w:szCs w:val="21"/>
                <w:lang w:bidi="zh-CN"/>
              </w:rPr>
              <w:t>2.4</w:t>
            </w:r>
          </w:p>
        </w:tc>
        <w:tc>
          <w:tcPr>
            <w:tcW w:w="922" w:type="dxa"/>
            <w:vAlign w:val="center"/>
          </w:tcPr>
          <w:p w14:paraId="14E06976">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3</w:t>
            </w:r>
            <w:r>
              <w:rPr>
                <w:rFonts w:ascii="宋体" w:hAnsi="宋体" w:eastAsia="宋体" w:cs="仿宋"/>
                <w:kern w:val="0"/>
                <w:szCs w:val="21"/>
                <w:lang w:bidi="zh-CN"/>
              </w:rPr>
              <w:t>.65</w:t>
            </w:r>
          </w:p>
        </w:tc>
        <w:tc>
          <w:tcPr>
            <w:tcW w:w="850" w:type="dxa"/>
            <w:vAlign w:val="center"/>
          </w:tcPr>
          <w:p w14:paraId="4E3D5889">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预期性</w:t>
            </w:r>
          </w:p>
        </w:tc>
      </w:tr>
      <w:tr w14:paraId="4196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0805C81D">
            <w:pPr>
              <w:spacing w:line="360" w:lineRule="auto"/>
              <w:jc w:val="center"/>
              <w:rPr>
                <w:rFonts w:ascii="宋体" w:hAnsi="宋体" w:eastAsia="宋体" w:cs="仿宋"/>
                <w:kern w:val="0"/>
                <w:szCs w:val="21"/>
                <w:lang w:val="zh-CN" w:bidi="zh-CN"/>
              </w:rPr>
            </w:pPr>
          </w:p>
        </w:tc>
        <w:tc>
          <w:tcPr>
            <w:tcW w:w="4111" w:type="dxa"/>
            <w:vAlign w:val="center"/>
          </w:tcPr>
          <w:p w14:paraId="6002738C">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相关从业人数（万）</w:t>
            </w:r>
          </w:p>
        </w:tc>
        <w:tc>
          <w:tcPr>
            <w:tcW w:w="921" w:type="dxa"/>
            <w:vAlign w:val="center"/>
          </w:tcPr>
          <w:p w14:paraId="5288E02D">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2</w:t>
            </w:r>
          </w:p>
        </w:tc>
        <w:tc>
          <w:tcPr>
            <w:tcW w:w="922" w:type="dxa"/>
            <w:vAlign w:val="center"/>
          </w:tcPr>
          <w:p w14:paraId="76D21687">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3</w:t>
            </w:r>
            <w:r>
              <w:rPr>
                <w:rFonts w:ascii="宋体" w:hAnsi="宋体" w:eastAsia="宋体" w:cs="仿宋"/>
                <w:kern w:val="0"/>
                <w:szCs w:val="21"/>
                <w:lang w:bidi="zh-CN"/>
              </w:rPr>
              <w:t>.3</w:t>
            </w:r>
          </w:p>
        </w:tc>
        <w:tc>
          <w:tcPr>
            <w:tcW w:w="850" w:type="dxa"/>
            <w:vAlign w:val="center"/>
          </w:tcPr>
          <w:p w14:paraId="15BE3E07">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预期性</w:t>
            </w:r>
          </w:p>
        </w:tc>
      </w:tr>
      <w:tr w14:paraId="358E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5334B979">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分领域</w:t>
            </w:r>
          </w:p>
        </w:tc>
        <w:tc>
          <w:tcPr>
            <w:tcW w:w="4111" w:type="dxa"/>
            <w:vAlign w:val="center"/>
          </w:tcPr>
          <w:p w14:paraId="2DEE97D1">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工业电子商务普及率（%）</w:t>
            </w:r>
          </w:p>
        </w:tc>
        <w:tc>
          <w:tcPr>
            <w:tcW w:w="921" w:type="dxa"/>
            <w:vAlign w:val="center"/>
          </w:tcPr>
          <w:p w14:paraId="1D3028D9">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6</w:t>
            </w:r>
            <w:r>
              <w:rPr>
                <w:rFonts w:ascii="宋体" w:hAnsi="宋体" w:eastAsia="宋体" w:cs="仿宋"/>
                <w:kern w:val="0"/>
                <w:szCs w:val="21"/>
                <w:lang w:bidi="zh-CN"/>
              </w:rPr>
              <w:t>5</w:t>
            </w:r>
          </w:p>
        </w:tc>
        <w:tc>
          <w:tcPr>
            <w:tcW w:w="922" w:type="dxa"/>
            <w:vAlign w:val="center"/>
          </w:tcPr>
          <w:p w14:paraId="0F606B85">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7</w:t>
            </w:r>
            <w:r>
              <w:rPr>
                <w:rFonts w:ascii="宋体" w:hAnsi="宋体" w:eastAsia="宋体" w:cs="仿宋"/>
                <w:kern w:val="0"/>
                <w:szCs w:val="21"/>
                <w:lang w:bidi="zh-CN"/>
              </w:rPr>
              <w:t>5</w:t>
            </w:r>
          </w:p>
        </w:tc>
        <w:tc>
          <w:tcPr>
            <w:tcW w:w="850" w:type="dxa"/>
            <w:vAlign w:val="center"/>
          </w:tcPr>
          <w:p w14:paraId="001DD056">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预期性</w:t>
            </w:r>
          </w:p>
        </w:tc>
      </w:tr>
      <w:tr w14:paraId="5F59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AA4048D">
            <w:pPr>
              <w:spacing w:line="360" w:lineRule="auto"/>
              <w:jc w:val="center"/>
              <w:rPr>
                <w:rFonts w:ascii="宋体" w:hAnsi="宋体" w:eastAsia="宋体" w:cs="仿宋"/>
                <w:kern w:val="0"/>
                <w:szCs w:val="21"/>
                <w:lang w:val="zh-CN" w:bidi="zh-CN"/>
              </w:rPr>
            </w:pPr>
          </w:p>
        </w:tc>
        <w:tc>
          <w:tcPr>
            <w:tcW w:w="4111" w:type="dxa"/>
            <w:vAlign w:val="center"/>
          </w:tcPr>
          <w:p w14:paraId="18B572CA">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农村电子商务交易额（亿元）</w:t>
            </w:r>
          </w:p>
        </w:tc>
        <w:tc>
          <w:tcPr>
            <w:tcW w:w="921" w:type="dxa"/>
            <w:vAlign w:val="center"/>
          </w:tcPr>
          <w:p w14:paraId="0DA7E1A6">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1</w:t>
            </w:r>
            <w:r>
              <w:rPr>
                <w:rFonts w:ascii="宋体" w:hAnsi="宋体" w:eastAsia="宋体" w:cs="仿宋"/>
                <w:kern w:val="0"/>
                <w:szCs w:val="21"/>
                <w:lang w:bidi="zh-CN"/>
              </w:rPr>
              <w:t>8</w:t>
            </w:r>
          </w:p>
        </w:tc>
        <w:tc>
          <w:tcPr>
            <w:tcW w:w="922" w:type="dxa"/>
            <w:vAlign w:val="center"/>
          </w:tcPr>
          <w:p w14:paraId="64F37F69">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3</w:t>
            </w:r>
            <w:r>
              <w:rPr>
                <w:rFonts w:ascii="宋体" w:hAnsi="宋体" w:eastAsia="宋体" w:cs="仿宋"/>
                <w:kern w:val="0"/>
                <w:szCs w:val="21"/>
                <w:lang w:bidi="zh-CN"/>
              </w:rPr>
              <w:t>5</w:t>
            </w:r>
          </w:p>
        </w:tc>
        <w:tc>
          <w:tcPr>
            <w:tcW w:w="850" w:type="dxa"/>
            <w:vAlign w:val="center"/>
          </w:tcPr>
          <w:p w14:paraId="20A9F033">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预期性</w:t>
            </w:r>
          </w:p>
        </w:tc>
      </w:tr>
      <w:tr w14:paraId="057C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0721158">
            <w:pPr>
              <w:spacing w:line="360" w:lineRule="auto"/>
              <w:jc w:val="center"/>
              <w:rPr>
                <w:rFonts w:ascii="宋体" w:hAnsi="宋体" w:eastAsia="宋体" w:cs="仿宋"/>
                <w:kern w:val="0"/>
                <w:szCs w:val="21"/>
                <w:lang w:val="zh-CN" w:bidi="zh-CN"/>
              </w:rPr>
            </w:pPr>
          </w:p>
        </w:tc>
        <w:tc>
          <w:tcPr>
            <w:tcW w:w="4111" w:type="dxa"/>
            <w:vAlign w:val="center"/>
          </w:tcPr>
          <w:p w14:paraId="0DAEC7CE">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跨境电子商务交易额（亿元）</w:t>
            </w:r>
          </w:p>
        </w:tc>
        <w:tc>
          <w:tcPr>
            <w:tcW w:w="921" w:type="dxa"/>
            <w:vAlign w:val="center"/>
          </w:tcPr>
          <w:p w14:paraId="7ADFA8E4">
            <w:pPr>
              <w:spacing w:line="360" w:lineRule="auto"/>
              <w:jc w:val="center"/>
              <w:rPr>
                <w:rFonts w:ascii="宋体" w:hAnsi="宋体" w:eastAsia="宋体" w:cs="仿宋"/>
                <w:kern w:val="0"/>
                <w:szCs w:val="21"/>
                <w:lang w:bidi="zh-CN"/>
              </w:rPr>
            </w:pPr>
            <w:r>
              <w:rPr>
                <w:rFonts w:ascii="宋体" w:hAnsi="宋体" w:eastAsia="宋体" w:cs="仿宋"/>
                <w:kern w:val="0"/>
                <w:szCs w:val="21"/>
                <w:lang w:bidi="zh-CN"/>
              </w:rPr>
              <w:t>2</w:t>
            </w:r>
          </w:p>
        </w:tc>
        <w:tc>
          <w:tcPr>
            <w:tcW w:w="922" w:type="dxa"/>
            <w:vAlign w:val="center"/>
          </w:tcPr>
          <w:p w14:paraId="00BEB456">
            <w:pPr>
              <w:spacing w:line="360" w:lineRule="auto"/>
              <w:jc w:val="center"/>
              <w:rPr>
                <w:rFonts w:ascii="宋体" w:hAnsi="宋体" w:eastAsia="宋体" w:cs="仿宋"/>
                <w:kern w:val="0"/>
                <w:szCs w:val="21"/>
                <w:lang w:bidi="zh-CN"/>
              </w:rPr>
            </w:pPr>
            <w:r>
              <w:rPr>
                <w:rFonts w:ascii="宋体" w:hAnsi="宋体" w:eastAsia="宋体" w:cs="仿宋"/>
                <w:kern w:val="0"/>
                <w:szCs w:val="21"/>
                <w:lang w:bidi="zh-CN"/>
              </w:rPr>
              <w:t>4.4</w:t>
            </w:r>
          </w:p>
        </w:tc>
        <w:tc>
          <w:tcPr>
            <w:tcW w:w="850" w:type="dxa"/>
            <w:vAlign w:val="center"/>
          </w:tcPr>
          <w:p w14:paraId="2B1B72B2">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预期性</w:t>
            </w:r>
          </w:p>
        </w:tc>
      </w:tr>
      <w:tr w14:paraId="086A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42416BA2">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主体培育</w:t>
            </w:r>
          </w:p>
        </w:tc>
        <w:tc>
          <w:tcPr>
            <w:tcW w:w="4111" w:type="dxa"/>
            <w:vAlign w:val="center"/>
          </w:tcPr>
          <w:p w14:paraId="132A9FE3">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培训人次（千）</w:t>
            </w:r>
          </w:p>
        </w:tc>
        <w:tc>
          <w:tcPr>
            <w:tcW w:w="921" w:type="dxa"/>
            <w:vAlign w:val="center"/>
          </w:tcPr>
          <w:p w14:paraId="03BAD8EF">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4</w:t>
            </w:r>
          </w:p>
        </w:tc>
        <w:tc>
          <w:tcPr>
            <w:tcW w:w="922" w:type="dxa"/>
            <w:vAlign w:val="center"/>
          </w:tcPr>
          <w:p w14:paraId="2CDE9448">
            <w:pPr>
              <w:spacing w:line="360" w:lineRule="auto"/>
              <w:jc w:val="center"/>
              <w:rPr>
                <w:rFonts w:ascii="宋体" w:hAnsi="宋体" w:eastAsia="宋体" w:cs="仿宋"/>
                <w:kern w:val="0"/>
                <w:szCs w:val="21"/>
                <w:lang w:bidi="zh-CN"/>
              </w:rPr>
            </w:pPr>
            <w:r>
              <w:rPr>
                <w:rFonts w:ascii="宋体" w:hAnsi="宋体" w:eastAsia="宋体" w:cs="仿宋"/>
                <w:kern w:val="0"/>
                <w:szCs w:val="21"/>
                <w:lang w:bidi="zh-CN"/>
              </w:rPr>
              <w:t>5</w:t>
            </w:r>
          </w:p>
        </w:tc>
        <w:tc>
          <w:tcPr>
            <w:tcW w:w="850" w:type="dxa"/>
            <w:vAlign w:val="center"/>
          </w:tcPr>
          <w:p w14:paraId="4A3C86D2">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预期性</w:t>
            </w:r>
          </w:p>
        </w:tc>
      </w:tr>
      <w:tr w14:paraId="66A9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829C3E8">
            <w:pPr>
              <w:spacing w:line="360" w:lineRule="auto"/>
              <w:jc w:val="center"/>
              <w:rPr>
                <w:rFonts w:ascii="宋体" w:hAnsi="宋体" w:eastAsia="宋体" w:cs="仿宋"/>
                <w:kern w:val="0"/>
                <w:sz w:val="24"/>
                <w:lang w:val="zh-CN" w:bidi="zh-CN"/>
              </w:rPr>
            </w:pPr>
          </w:p>
        </w:tc>
        <w:tc>
          <w:tcPr>
            <w:tcW w:w="4111" w:type="dxa"/>
            <w:vAlign w:val="center"/>
          </w:tcPr>
          <w:p w14:paraId="78A0E5E3">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国家级示范企业（家）</w:t>
            </w:r>
          </w:p>
        </w:tc>
        <w:tc>
          <w:tcPr>
            <w:tcW w:w="921" w:type="dxa"/>
            <w:vAlign w:val="center"/>
          </w:tcPr>
          <w:p w14:paraId="6BBFAEA4">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0</w:t>
            </w:r>
          </w:p>
        </w:tc>
        <w:tc>
          <w:tcPr>
            <w:tcW w:w="922" w:type="dxa"/>
            <w:vAlign w:val="center"/>
          </w:tcPr>
          <w:p w14:paraId="723F1C80">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1</w:t>
            </w:r>
          </w:p>
        </w:tc>
        <w:tc>
          <w:tcPr>
            <w:tcW w:w="850" w:type="dxa"/>
            <w:vAlign w:val="center"/>
          </w:tcPr>
          <w:p w14:paraId="0B2888CF">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预期性</w:t>
            </w:r>
          </w:p>
        </w:tc>
      </w:tr>
      <w:tr w14:paraId="7393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5D27321">
            <w:pPr>
              <w:spacing w:line="360" w:lineRule="auto"/>
              <w:jc w:val="center"/>
              <w:rPr>
                <w:rFonts w:ascii="宋体" w:hAnsi="宋体" w:eastAsia="宋体" w:cs="仿宋"/>
                <w:kern w:val="0"/>
                <w:sz w:val="24"/>
                <w:lang w:val="zh-CN" w:bidi="zh-CN"/>
              </w:rPr>
            </w:pPr>
          </w:p>
        </w:tc>
        <w:tc>
          <w:tcPr>
            <w:tcW w:w="4111" w:type="dxa"/>
            <w:vAlign w:val="center"/>
          </w:tcPr>
          <w:p w14:paraId="58BCCCFD">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省级示范企业（家）</w:t>
            </w:r>
          </w:p>
        </w:tc>
        <w:tc>
          <w:tcPr>
            <w:tcW w:w="921" w:type="dxa"/>
            <w:vAlign w:val="center"/>
          </w:tcPr>
          <w:p w14:paraId="5E2D4BBB">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0</w:t>
            </w:r>
          </w:p>
        </w:tc>
        <w:tc>
          <w:tcPr>
            <w:tcW w:w="922" w:type="dxa"/>
            <w:vAlign w:val="center"/>
          </w:tcPr>
          <w:p w14:paraId="0298389A">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2</w:t>
            </w:r>
          </w:p>
        </w:tc>
        <w:tc>
          <w:tcPr>
            <w:tcW w:w="850" w:type="dxa"/>
            <w:vAlign w:val="center"/>
          </w:tcPr>
          <w:p w14:paraId="4E816FCD">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预期性</w:t>
            </w:r>
          </w:p>
        </w:tc>
      </w:tr>
      <w:tr w14:paraId="2115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74313F2">
            <w:pPr>
              <w:spacing w:line="360" w:lineRule="auto"/>
              <w:jc w:val="center"/>
              <w:rPr>
                <w:rFonts w:ascii="宋体" w:hAnsi="宋体" w:eastAsia="宋体" w:cs="仿宋"/>
                <w:kern w:val="0"/>
                <w:sz w:val="24"/>
                <w:lang w:val="zh-CN" w:bidi="zh-CN"/>
              </w:rPr>
            </w:pPr>
          </w:p>
        </w:tc>
        <w:tc>
          <w:tcPr>
            <w:tcW w:w="4111" w:type="dxa"/>
            <w:vAlign w:val="center"/>
          </w:tcPr>
          <w:p w14:paraId="6A4F5B3F">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国家级</w:t>
            </w:r>
            <w:r>
              <w:rPr>
                <w:rFonts w:ascii="宋体" w:hAnsi="宋体" w:eastAsia="宋体" w:cs="仿宋"/>
                <w:kern w:val="0"/>
                <w:szCs w:val="21"/>
                <w:lang w:bidi="zh-CN"/>
              </w:rPr>
              <w:t>数字化商贸流通龙头企业</w:t>
            </w:r>
            <w:r>
              <w:rPr>
                <w:rFonts w:hint="eastAsia" w:ascii="宋体" w:hAnsi="宋体" w:eastAsia="宋体" w:cs="仿宋"/>
                <w:kern w:val="0"/>
                <w:szCs w:val="21"/>
                <w:lang w:bidi="zh-CN"/>
              </w:rPr>
              <w:t>（家）</w:t>
            </w:r>
          </w:p>
        </w:tc>
        <w:tc>
          <w:tcPr>
            <w:tcW w:w="921" w:type="dxa"/>
            <w:vAlign w:val="center"/>
          </w:tcPr>
          <w:p w14:paraId="57F33DC7">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0</w:t>
            </w:r>
          </w:p>
        </w:tc>
        <w:tc>
          <w:tcPr>
            <w:tcW w:w="922" w:type="dxa"/>
            <w:vAlign w:val="center"/>
          </w:tcPr>
          <w:p w14:paraId="548BD040">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1</w:t>
            </w:r>
          </w:p>
        </w:tc>
        <w:tc>
          <w:tcPr>
            <w:tcW w:w="850" w:type="dxa"/>
            <w:vAlign w:val="center"/>
          </w:tcPr>
          <w:p w14:paraId="407221E1">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预期性</w:t>
            </w:r>
          </w:p>
        </w:tc>
      </w:tr>
      <w:tr w14:paraId="6FE1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C4E3A42">
            <w:pPr>
              <w:spacing w:line="360" w:lineRule="auto"/>
              <w:jc w:val="center"/>
              <w:rPr>
                <w:rFonts w:ascii="宋体" w:hAnsi="宋体" w:eastAsia="宋体" w:cs="仿宋"/>
                <w:kern w:val="0"/>
                <w:sz w:val="24"/>
                <w:lang w:val="zh-CN" w:bidi="zh-CN"/>
              </w:rPr>
            </w:pPr>
          </w:p>
        </w:tc>
        <w:tc>
          <w:tcPr>
            <w:tcW w:w="4111" w:type="dxa"/>
            <w:vAlign w:val="center"/>
          </w:tcPr>
          <w:p w14:paraId="1A114A5C">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全国县域直播电商中心(村播学院)（家）</w:t>
            </w:r>
          </w:p>
        </w:tc>
        <w:tc>
          <w:tcPr>
            <w:tcW w:w="921" w:type="dxa"/>
            <w:vAlign w:val="center"/>
          </w:tcPr>
          <w:p w14:paraId="7103F46C">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0</w:t>
            </w:r>
          </w:p>
        </w:tc>
        <w:tc>
          <w:tcPr>
            <w:tcW w:w="922" w:type="dxa"/>
            <w:vAlign w:val="center"/>
          </w:tcPr>
          <w:p w14:paraId="22100EC0">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1</w:t>
            </w:r>
          </w:p>
        </w:tc>
        <w:tc>
          <w:tcPr>
            <w:tcW w:w="850" w:type="dxa"/>
            <w:vAlign w:val="center"/>
          </w:tcPr>
          <w:p w14:paraId="62C5D85C">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预期性</w:t>
            </w:r>
          </w:p>
        </w:tc>
      </w:tr>
      <w:tr w14:paraId="75DA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095EF94F">
            <w:pPr>
              <w:spacing w:line="360" w:lineRule="auto"/>
              <w:jc w:val="center"/>
              <w:rPr>
                <w:rFonts w:ascii="宋体" w:hAnsi="宋体" w:eastAsia="宋体" w:cs="仿宋"/>
                <w:kern w:val="0"/>
                <w:sz w:val="24"/>
                <w:lang w:val="zh-CN" w:bidi="zh-CN"/>
              </w:rPr>
            </w:pPr>
          </w:p>
        </w:tc>
        <w:tc>
          <w:tcPr>
            <w:tcW w:w="4111" w:type="dxa"/>
            <w:vAlign w:val="center"/>
          </w:tcPr>
          <w:p w14:paraId="0FF833AA">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省级电子商务示范基地（个）</w:t>
            </w:r>
          </w:p>
        </w:tc>
        <w:tc>
          <w:tcPr>
            <w:tcW w:w="921" w:type="dxa"/>
            <w:vAlign w:val="center"/>
          </w:tcPr>
          <w:p w14:paraId="0CC475B3">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0</w:t>
            </w:r>
          </w:p>
        </w:tc>
        <w:tc>
          <w:tcPr>
            <w:tcW w:w="922" w:type="dxa"/>
            <w:vAlign w:val="center"/>
          </w:tcPr>
          <w:p w14:paraId="54F3BED4">
            <w:pPr>
              <w:spacing w:line="360" w:lineRule="auto"/>
              <w:jc w:val="center"/>
              <w:rPr>
                <w:rFonts w:ascii="宋体" w:hAnsi="宋体" w:eastAsia="宋体" w:cs="仿宋"/>
                <w:kern w:val="0"/>
                <w:szCs w:val="21"/>
                <w:lang w:bidi="zh-CN"/>
              </w:rPr>
            </w:pPr>
            <w:r>
              <w:rPr>
                <w:rFonts w:ascii="宋体" w:hAnsi="宋体" w:eastAsia="宋体" w:cs="仿宋"/>
                <w:kern w:val="0"/>
                <w:szCs w:val="21"/>
                <w:lang w:bidi="zh-CN"/>
              </w:rPr>
              <w:t>1</w:t>
            </w:r>
          </w:p>
        </w:tc>
        <w:tc>
          <w:tcPr>
            <w:tcW w:w="850" w:type="dxa"/>
            <w:vAlign w:val="center"/>
          </w:tcPr>
          <w:p w14:paraId="3D735042">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预期性</w:t>
            </w:r>
          </w:p>
        </w:tc>
      </w:tr>
      <w:tr w14:paraId="38D4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0CFEA5DF">
            <w:pPr>
              <w:spacing w:line="360" w:lineRule="auto"/>
              <w:jc w:val="center"/>
              <w:rPr>
                <w:rFonts w:ascii="宋体" w:hAnsi="宋体" w:eastAsia="宋体" w:cs="仿宋"/>
                <w:kern w:val="0"/>
                <w:sz w:val="24"/>
                <w:lang w:val="zh-CN" w:bidi="zh-CN"/>
              </w:rPr>
            </w:pPr>
          </w:p>
        </w:tc>
        <w:tc>
          <w:tcPr>
            <w:tcW w:w="4111" w:type="dxa"/>
            <w:vAlign w:val="center"/>
          </w:tcPr>
          <w:p w14:paraId="4A210718">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国家级电子商务示范基地（个）</w:t>
            </w:r>
          </w:p>
        </w:tc>
        <w:tc>
          <w:tcPr>
            <w:tcW w:w="921" w:type="dxa"/>
            <w:vAlign w:val="center"/>
          </w:tcPr>
          <w:p w14:paraId="2B4674C8">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0</w:t>
            </w:r>
          </w:p>
        </w:tc>
        <w:tc>
          <w:tcPr>
            <w:tcW w:w="922" w:type="dxa"/>
            <w:vAlign w:val="center"/>
          </w:tcPr>
          <w:p w14:paraId="345A379F">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1</w:t>
            </w:r>
          </w:p>
        </w:tc>
        <w:tc>
          <w:tcPr>
            <w:tcW w:w="850" w:type="dxa"/>
            <w:vAlign w:val="center"/>
          </w:tcPr>
          <w:p w14:paraId="2C56365E">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预期性</w:t>
            </w:r>
          </w:p>
        </w:tc>
      </w:tr>
      <w:tr w14:paraId="4303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B715C2E">
            <w:pPr>
              <w:spacing w:line="360" w:lineRule="auto"/>
              <w:jc w:val="center"/>
              <w:rPr>
                <w:rFonts w:ascii="宋体" w:hAnsi="宋体" w:eastAsia="宋体" w:cs="仿宋"/>
                <w:kern w:val="0"/>
                <w:sz w:val="24"/>
                <w:lang w:val="zh-CN" w:bidi="zh-CN"/>
              </w:rPr>
            </w:pPr>
          </w:p>
        </w:tc>
        <w:tc>
          <w:tcPr>
            <w:tcW w:w="4111" w:type="dxa"/>
            <w:vAlign w:val="center"/>
          </w:tcPr>
          <w:p w14:paraId="4A057A8D">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国家级农村电商带头人（位）</w:t>
            </w:r>
          </w:p>
        </w:tc>
        <w:tc>
          <w:tcPr>
            <w:tcW w:w="921" w:type="dxa"/>
            <w:vAlign w:val="center"/>
          </w:tcPr>
          <w:p w14:paraId="1EDDF247">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bidi="zh-CN"/>
              </w:rPr>
              <w:t>0</w:t>
            </w:r>
          </w:p>
        </w:tc>
        <w:tc>
          <w:tcPr>
            <w:tcW w:w="922" w:type="dxa"/>
            <w:vAlign w:val="center"/>
          </w:tcPr>
          <w:p w14:paraId="120C8E2D">
            <w:pPr>
              <w:spacing w:line="360" w:lineRule="auto"/>
              <w:jc w:val="center"/>
              <w:rPr>
                <w:rFonts w:ascii="宋体" w:hAnsi="宋体" w:eastAsia="宋体" w:cs="仿宋"/>
                <w:kern w:val="0"/>
                <w:szCs w:val="21"/>
                <w:lang w:bidi="zh-CN"/>
              </w:rPr>
            </w:pPr>
            <w:r>
              <w:rPr>
                <w:rFonts w:hint="eastAsia" w:ascii="宋体" w:hAnsi="宋体" w:eastAsia="宋体" w:cs="仿宋"/>
                <w:kern w:val="0"/>
                <w:szCs w:val="21"/>
                <w:lang w:val="zh-CN" w:bidi="zh-CN"/>
              </w:rPr>
              <w:t>2</w:t>
            </w:r>
            <w:r>
              <w:rPr>
                <w:rFonts w:ascii="宋体" w:hAnsi="宋体" w:eastAsia="宋体" w:cs="仿宋"/>
                <w:kern w:val="0"/>
                <w:szCs w:val="21"/>
                <w:lang w:val="zh-CN" w:bidi="zh-CN"/>
              </w:rPr>
              <w:t>0</w:t>
            </w:r>
          </w:p>
        </w:tc>
        <w:tc>
          <w:tcPr>
            <w:tcW w:w="850" w:type="dxa"/>
            <w:vAlign w:val="center"/>
          </w:tcPr>
          <w:p w14:paraId="0241B25E">
            <w:pPr>
              <w:spacing w:line="360" w:lineRule="auto"/>
              <w:jc w:val="center"/>
              <w:rPr>
                <w:rFonts w:ascii="宋体" w:hAnsi="宋体" w:eastAsia="宋体" w:cs="仿宋"/>
                <w:kern w:val="0"/>
                <w:szCs w:val="21"/>
                <w:lang w:val="zh-CN" w:bidi="zh-CN"/>
              </w:rPr>
            </w:pPr>
            <w:r>
              <w:rPr>
                <w:rFonts w:hint="eastAsia" w:ascii="宋体" w:hAnsi="宋体" w:eastAsia="宋体" w:cs="仿宋"/>
                <w:kern w:val="0"/>
                <w:szCs w:val="21"/>
                <w:lang w:bidi="zh-CN"/>
              </w:rPr>
              <w:t>预期性</w:t>
            </w:r>
          </w:p>
        </w:tc>
      </w:tr>
    </w:tbl>
    <w:p w14:paraId="5B0EFE49">
      <w:pPr>
        <w:spacing w:line="360" w:lineRule="auto"/>
        <w:rPr>
          <w:rFonts w:ascii="宋体" w:hAnsi="宋体" w:eastAsia="宋体" w:cs="仿宋"/>
          <w:kern w:val="0"/>
          <w:sz w:val="24"/>
          <w:lang w:val="zh-CN" w:bidi="zh-CN"/>
        </w:rPr>
      </w:pPr>
    </w:p>
    <w:p w14:paraId="63F043FF">
      <w:pPr>
        <w:rPr>
          <w:rFonts w:ascii="黑体" w:hAnsi="黑体" w:eastAsia="黑体" w:cs="微软雅黑"/>
          <w:b/>
          <w:sz w:val="32"/>
          <w:szCs w:val="32"/>
          <w:lang w:bidi="ar"/>
        </w:rPr>
      </w:pPr>
      <w:bookmarkStart w:id="14" w:name="_Toc181666859"/>
      <w:r>
        <w:rPr>
          <w:rFonts w:hint="eastAsia" w:ascii="黑体" w:hAnsi="黑体" w:eastAsia="黑体" w:cs="微软雅黑"/>
          <w:b/>
          <w:sz w:val="32"/>
          <w:szCs w:val="32"/>
          <w:lang w:bidi="ar"/>
        </w:rPr>
        <w:br w:type="page"/>
      </w:r>
    </w:p>
    <w:p w14:paraId="3F5EFBFA">
      <w:pPr>
        <w:pStyle w:val="2"/>
        <w:jc w:val="center"/>
        <w:rPr>
          <w:rFonts w:hint="default" w:ascii="黑体" w:hAnsi="黑体" w:eastAsia="黑体"/>
          <w:sz w:val="36"/>
          <w:szCs w:val="36"/>
          <w:lang w:bidi="ar"/>
        </w:rPr>
      </w:pPr>
      <w:bookmarkStart w:id="15" w:name="_Toc183083272"/>
      <w:r>
        <w:rPr>
          <w:rFonts w:ascii="黑体" w:hAnsi="黑体" w:eastAsia="黑体"/>
          <w:sz w:val="36"/>
          <w:szCs w:val="36"/>
          <w:lang w:bidi="ar"/>
        </w:rPr>
        <w:t>第三章 发展布局</w:t>
      </w:r>
      <w:bookmarkEnd w:id="14"/>
      <w:bookmarkEnd w:id="15"/>
    </w:p>
    <w:p w14:paraId="7B5D15A1">
      <w:pPr>
        <w:spacing w:line="360" w:lineRule="auto"/>
        <w:ind w:firstLine="480" w:firstLineChars="200"/>
        <w:rPr>
          <w:rFonts w:ascii="宋体" w:hAnsi="宋体" w:eastAsia="宋体" w:cs="仿宋"/>
          <w:kern w:val="0"/>
          <w:sz w:val="24"/>
          <w:lang w:val="zh-CN" w:bidi="zh-CN"/>
        </w:rPr>
      </w:pPr>
      <w:r>
        <w:rPr>
          <w:rFonts w:hint="eastAsia" w:ascii="宋体" w:hAnsi="宋体" w:eastAsia="宋体" w:cs="仿宋"/>
          <w:kern w:val="0"/>
          <w:sz w:val="24"/>
          <w:lang w:val="zh-CN" w:bidi="zh-CN"/>
        </w:rPr>
        <w:t>根据郧阳区电子商务发展的战略定位及现实条件，规划期内应重点构建“一核引领、两翼齐飞、</w:t>
      </w:r>
      <w:r>
        <w:rPr>
          <w:rFonts w:hint="eastAsia" w:ascii="宋体" w:hAnsi="宋体" w:eastAsia="宋体" w:cs="仿宋"/>
          <w:kern w:val="0"/>
          <w:sz w:val="24"/>
          <w:lang w:bidi="zh-CN"/>
        </w:rPr>
        <w:t>三镇驱动、</w:t>
      </w:r>
      <w:r>
        <w:rPr>
          <w:rFonts w:hint="eastAsia" w:ascii="宋体" w:hAnsi="宋体" w:eastAsia="宋体" w:cs="仿宋"/>
          <w:kern w:val="0"/>
          <w:sz w:val="24"/>
          <w:lang w:val="zh-CN" w:bidi="zh-CN"/>
        </w:rPr>
        <w:t>多点发力”的</w:t>
      </w:r>
      <w:r>
        <w:rPr>
          <w:rFonts w:hint="eastAsia" w:ascii="宋体" w:hAnsi="宋体" w:eastAsia="宋体" w:cs="仿宋"/>
          <w:kern w:val="0"/>
          <w:sz w:val="24"/>
          <w:lang w:bidi="zh-CN"/>
        </w:rPr>
        <w:t>发展布局，形成由点到线、由线到面的</w:t>
      </w:r>
      <w:r>
        <w:rPr>
          <w:rFonts w:hint="eastAsia" w:ascii="宋体" w:hAnsi="宋体" w:eastAsia="宋体" w:cs="仿宋"/>
          <w:kern w:val="0"/>
          <w:sz w:val="24"/>
          <w:lang w:val="zh-CN" w:bidi="zh-CN"/>
        </w:rPr>
        <w:t>全域产业空间布局，以缩小地区与城乡差距为主攻方向，注重发挥比较优势，优化城乡电商产业空间布局。</w:t>
      </w:r>
    </w:p>
    <w:p w14:paraId="012A7666">
      <w:pPr>
        <w:pStyle w:val="3"/>
        <w:rPr>
          <w:rFonts w:asciiTheme="minorEastAsia" w:hAnsiTheme="minorEastAsia" w:eastAsiaTheme="minorEastAsia"/>
          <w:sz w:val="28"/>
          <w:szCs w:val="28"/>
        </w:rPr>
      </w:pPr>
      <w:bookmarkStart w:id="16" w:name="_Toc183083273"/>
      <w:bookmarkStart w:id="17" w:name="_Toc181666860"/>
      <w:r>
        <w:rPr>
          <w:rFonts w:asciiTheme="minorEastAsia" w:hAnsiTheme="minorEastAsia" w:eastAsiaTheme="minorEastAsia"/>
          <w:sz w:val="28"/>
          <w:szCs w:val="28"/>
        </w:rPr>
        <w:t>一、一核引领</w:t>
      </w:r>
      <w:bookmarkEnd w:id="16"/>
      <w:bookmarkEnd w:id="17"/>
    </w:p>
    <w:p w14:paraId="29702EA6">
      <w:pPr>
        <w:spacing w:line="360" w:lineRule="auto"/>
        <w:ind w:firstLine="480" w:firstLineChars="200"/>
        <w:rPr>
          <w:rFonts w:ascii="宋体" w:hAnsi="宋体" w:eastAsia="宋体" w:cs="Times New Roman"/>
          <w:b/>
          <w:bCs/>
          <w:sz w:val="24"/>
        </w:rPr>
      </w:pPr>
      <w:r>
        <w:rPr>
          <w:rFonts w:hint="eastAsia" w:ascii="宋体" w:hAnsi="宋体" w:eastAsia="宋体" w:cs="仿宋"/>
          <w:kern w:val="0"/>
          <w:sz w:val="24"/>
          <w:lang w:bidi="zh-CN"/>
        </w:rPr>
        <w:t>“一核引领”是指以十堰北数字电商中心作为全区电子商务发展的核心引擎，通过完善基础设施建设，进一步优化功能布局，建设集公共服务、电商运营、直播运营、供应链整合、项目孵化、人才培育、智慧云仓七位一体的郧阳电子商务生态园，发挥集聚作用，引导全区电商企业入驻，打造完整的电子商务产业链和生态圈，形成功能互补、高效协同的园区生态。下面是对该中心核心功能区的具体设计：</w:t>
      </w:r>
    </w:p>
    <w:p w14:paraId="0E1B07EA">
      <w:pPr>
        <w:spacing w:line="360" w:lineRule="auto"/>
        <w:jc w:val="center"/>
        <w:rPr>
          <w:rFonts w:ascii="宋体" w:hAnsi="宋体" w:eastAsia="宋体" w:cs="Times New Roman"/>
          <w:b/>
          <w:bCs/>
          <w:sz w:val="24"/>
        </w:rPr>
      </w:pPr>
      <w:r>
        <mc:AlternateContent>
          <mc:Choice Requires="wpg">
            <w:drawing>
              <wp:inline distT="0" distB="0" distL="114300" distR="114300">
                <wp:extent cx="2731135" cy="2784475"/>
                <wp:effectExtent l="0" t="0" r="0" b="0"/>
                <wp:docPr id="153" name="组合 1" descr="KSO_WM_TAG_VERSION=1.0&amp;KSO_WM_BEAUTIFY_FLAG=#wm#&amp;KSO_WM_UNIT_TYPE=i&amp;KSO_WM_UNIT_ID=wpsdiag20164965_7*i*1&amp;KSO_WM_TEMPLATE_CATEGORY=wpsdiag&amp;KSO_WM_TEMPLATE_INDEX=20164965"/>
                <wp:cNvGraphicFramePr/>
                <a:graphic xmlns:a="http://schemas.openxmlformats.org/drawingml/2006/main">
                  <a:graphicData uri="http://schemas.microsoft.com/office/word/2010/wordprocessingGroup">
                    <wpg:wgp>
                      <wpg:cNvGrpSpPr/>
                      <wpg:grpSpPr>
                        <a:xfrm>
                          <a:off x="0" y="0"/>
                          <a:ext cx="2731331" cy="2784719"/>
                          <a:chOff x="0" y="0"/>
                          <a:chExt cx="894266" cy="872215"/>
                        </a:xfrm>
                      </wpg:grpSpPr>
                      <wps:wsp>
                        <wps:cNvPr id="84" name="Freeform 464" descr="KSO_WM_UNIT_INDEX=1_1&amp;KSO_WM_UNIT_TYPE=n_i&amp;KSO_WM_UNIT_ID=wpsdiag20164965_7*n_i*1_1&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wps:cNvSpPr/>
                        <wps:spPr bwMode="auto">
                          <a:xfrm rot="20214992">
                            <a:off x="678847" y="293979"/>
                            <a:ext cx="215419" cy="274977"/>
                          </a:xfrm>
                          <a:custGeom>
                            <a:avLst/>
                            <a:gdLst/>
                            <a:ahLst/>
                            <a:cxnLst>
                              <a:cxn ang="0">
                                <a:pos x="223" y="0"/>
                              </a:cxn>
                              <a:cxn ang="0">
                                <a:pos x="223" y="0"/>
                              </a:cxn>
                              <a:cxn ang="0">
                                <a:pos x="216" y="73"/>
                              </a:cxn>
                              <a:cxn ang="0">
                                <a:pos x="203" y="146"/>
                              </a:cxn>
                              <a:cxn ang="0">
                                <a:pos x="183" y="217"/>
                              </a:cxn>
                              <a:cxn ang="0">
                                <a:pos x="160" y="287"/>
                              </a:cxn>
                              <a:cxn ang="0">
                                <a:pos x="130" y="357"/>
                              </a:cxn>
                              <a:cxn ang="0">
                                <a:pos x="90" y="420"/>
                              </a:cxn>
                              <a:cxn ang="0">
                                <a:pos x="50" y="484"/>
                              </a:cxn>
                              <a:cxn ang="0">
                                <a:pos x="0" y="544"/>
                              </a:cxn>
                              <a:cxn ang="0">
                                <a:pos x="320" y="868"/>
                              </a:cxn>
                              <a:cxn ang="0">
                                <a:pos x="363" y="821"/>
                              </a:cxn>
                              <a:cxn ang="0">
                                <a:pos x="400" y="771"/>
                              </a:cxn>
                              <a:cxn ang="0">
                                <a:pos x="436" y="724"/>
                              </a:cxn>
                              <a:cxn ang="0">
                                <a:pos x="470" y="671"/>
                              </a:cxn>
                              <a:cxn ang="0">
                                <a:pos x="500" y="621"/>
                              </a:cxn>
                              <a:cxn ang="0">
                                <a:pos x="530" y="567"/>
                              </a:cxn>
                              <a:cxn ang="0">
                                <a:pos x="557" y="514"/>
                              </a:cxn>
                              <a:cxn ang="0">
                                <a:pos x="580" y="460"/>
                              </a:cxn>
                              <a:cxn ang="0">
                                <a:pos x="600" y="404"/>
                              </a:cxn>
                              <a:cxn ang="0">
                                <a:pos x="620" y="347"/>
                              </a:cxn>
                              <a:cxn ang="0">
                                <a:pos x="637" y="290"/>
                              </a:cxn>
                              <a:cxn ang="0">
                                <a:pos x="650" y="233"/>
                              </a:cxn>
                              <a:cxn ang="0">
                                <a:pos x="660" y="177"/>
                              </a:cxn>
                              <a:cxn ang="0">
                                <a:pos x="670" y="116"/>
                              </a:cxn>
                              <a:cxn ang="0">
                                <a:pos x="677" y="60"/>
                              </a:cxn>
                              <a:cxn ang="0">
                                <a:pos x="680" y="0"/>
                              </a:cxn>
                              <a:cxn ang="0">
                                <a:pos x="223" y="0"/>
                              </a:cxn>
                            </a:cxnLst>
                            <a:rect l="0" t="0" r="r" b="b"/>
                            <a:pathLst>
                              <a:path w="680" h="868">
                                <a:moveTo>
                                  <a:pt x="223" y="0"/>
                                </a:moveTo>
                                <a:lnTo>
                                  <a:pt x="223" y="0"/>
                                </a:lnTo>
                                <a:lnTo>
                                  <a:pt x="216" y="73"/>
                                </a:lnTo>
                                <a:lnTo>
                                  <a:pt x="203" y="146"/>
                                </a:lnTo>
                                <a:lnTo>
                                  <a:pt x="183" y="217"/>
                                </a:lnTo>
                                <a:lnTo>
                                  <a:pt x="160" y="287"/>
                                </a:lnTo>
                                <a:lnTo>
                                  <a:pt x="130" y="357"/>
                                </a:lnTo>
                                <a:lnTo>
                                  <a:pt x="90" y="420"/>
                                </a:lnTo>
                                <a:lnTo>
                                  <a:pt x="50" y="484"/>
                                </a:lnTo>
                                <a:lnTo>
                                  <a:pt x="0" y="544"/>
                                </a:lnTo>
                                <a:lnTo>
                                  <a:pt x="320" y="868"/>
                                </a:lnTo>
                                <a:lnTo>
                                  <a:pt x="363" y="821"/>
                                </a:lnTo>
                                <a:lnTo>
                                  <a:pt x="400" y="771"/>
                                </a:lnTo>
                                <a:lnTo>
                                  <a:pt x="436" y="724"/>
                                </a:lnTo>
                                <a:lnTo>
                                  <a:pt x="470" y="671"/>
                                </a:lnTo>
                                <a:lnTo>
                                  <a:pt x="500" y="621"/>
                                </a:lnTo>
                                <a:lnTo>
                                  <a:pt x="530" y="567"/>
                                </a:lnTo>
                                <a:lnTo>
                                  <a:pt x="557" y="514"/>
                                </a:lnTo>
                                <a:lnTo>
                                  <a:pt x="580" y="460"/>
                                </a:lnTo>
                                <a:lnTo>
                                  <a:pt x="600" y="404"/>
                                </a:lnTo>
                                <a:lnTo>
                                  <a:pt x="620" y="347"/>
                                </a:lnTo>
                                <a:lnTo>
                                  <a:pt x="637" y="290"/>
                                </a:lnTo>
                                <a:lnTo>
                                  <a:pt x="650" y="233"/>
                                </a:lnTo>
                                <a:lnTo>
                                  <a:pt x="660" y="177"/>
                                </a:lnTo>
                                <a:lnTo>
                                  <a:pt x="670" y="116"/>
                                </a:lnTo>
                                <a:lnTo>
                                  <a:pt x="677" y="60"/>
                                </a:lnTo>
                                <a:lnTo>
                                  <a:pt x="680" y="0"/>
                                </a:lnTo>
                                <a:lnTo>
                                  <a:pt x="223" y="0"/>
                                </a:lnTo>
                                <a:close/>
                              </a:path>
                            </a:pathLst>
                          </a:custGeom>
                          <a:solidFill>
                            <a:schemeClr val="accent2"/>
                          </a:solidFill>
                          <a:ln w="9525">
                            <a:noFill/>
                            <a:round/>
                          </a:ln>
                          <a:effectLst/>
                        </wps:spPr>
                        <wps:bodyPr wrap="none" anchor="ctr" anchorCtr="0"/>
                      </wps:wsp>
                      <wps:wsp>
                        <wps:cNvPr id="85" name="Freeform 465" descr="KSO_WM_UNIT_INDEX=1_2&amp;KSO_WM_UNIT_TYPE=n_i&amp;KSO_WM_UNIT_ID=wpsdiag20164965_7*n_i*1_2&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5&amp;KSO_WM_UNIT_FILL_BACK_SCHEMECOLOR_INDEX=0"/>
                        <wps:cNvSpPr/>
                        <wps:spPr bwMode="auto">
                          <a:xfrm rot="20342028">
                            <a:off x="542971" y="574487"/>
                            <a:ext cx="273709" cy="214786"/>
                          </a:xfrm>
                          <a:custGeom>
                            <a:avLst/>
                            <a:gdLst/>
                            <a:ahLst/>
                            <a:cxnLst>
                              <a:cxn ang="0">
                                <a:pos x="543" y="0"/>
                              </a:cxn>
                              <a:cxn ang="0">
                                <a:pos x="543" y="0"/>
                              </a:cxn>
                              <a:cxn ang="0">
                                <a:pos x="483" y="47"/>
                              </a:cxn>
                              <a:cxn ang="0">
                                <a:pos x="420" y="90"/>
                              </a:cxn>
                              <a:cxn ang="0">
                                <a:pos x="353" y="127"/>
                              </a:cxn>
                              <a:cxn ang="0">
                                <a:pos x="287" y="157"/>
                              </a:cxn>
                              <a:cxn ang="0">
                                <a:pos x="217" y="184"/>
                              </a:cxn>
                              <a:cxn ang="0">
                                <a:pos x="146" y="204"/>
                              </a:cxn>
                              <a:cxn ang="0">
                                <a:pos x="73" y="217"/>
                              </a:cxn>
                              <a:cxn ang="0">
                                <a:pos x="0" y="224"/>
                              </a:cxn>
                              <a:cxn ang="0">
                                <a:pos x="0" y="678"/>
                              </a:cxn>
                              <a:cxn ang="0">
                                <a:pos x="56" y="675"/>
                              </a:cxn>
                              <a:cxn ang="0">
                                <a:pos x="116" y="668"/>
                              </a:cxn>
                              <a:cxn ang="0">
                                <a:pos x="173" y="661"/>
                              </a:cxn>
                              <a:cxn ang="0">
                                <a:pos x="233" y="648"/>
                              </a:cxn>
                              <a:cxn ang="0">
                                <a:pos x="290" y="635"/>
                              </a:cxn>
                              <a:cxn ang="0">
                                <a:pos x="347" y="618"/>
                              </a:cxn>
                              <a:cxn ang="0">
                                <a:pos x="400" y="601"/>
                              </a:cxn>
                              <a:cxn ang="0">
                                <a:pos x="457" y="581"/>
                              </a:cxn>
                              <a:cxn ang="0">
                                <a:pos x="510" y="554"/>
                              </a:cxn>
                              <a:cxn ang="0">
                                <a:pos x="567" y="531"/>
                              </a:cxn>
                              <a:cxn ang="0">
                                <a:pos x="617" y="501"/>
                              </a:cxn>
                              <a:cxn ang="0">
                                <a:pos x="670" y="471"/>
                              </a:cxn>
                              <a:cxn ang="0">
                                <a:pos x="720" y="438"/>
                              </a:cxn>
                              <a:cxn ang="0">
                                <a:pos x="770" y="401"/>
                              </a:cxn>
                              <a:cxn ang="0">
                                <a:pos x="817" y="361"/>
                              </a:cxn>
                              <a:cxn ang="0">
                                <a:pos x="864" y="321"/>
                              </a:cxn>
                              <a:cxn ang="0">
                                <a:pos x="543" y="0"/>
                              </a:cxn>
                            </a:cxnLst>
                            <a:rect l="0" t="0" r="r" b="b"/>
                            <a:pathLst>
                              <a:path w="864" h="678">
                                <a:moveTo>
                                  <a:pt x="543" y="0"/>
                                </a:moveTo>
                                <a:lnTo>
                                  <a:pt x="543" y="0"/>
                                </a:lnTo>
                                <a:lnTo>
                                  <a:pt x="483" y="47"/>
                                </a:lnTo>
                                <a:lnTo>
                                  <a:pt x="420" y="90"/>
                                </a:lnTo>
                                <a:lnTo>
                                  <a:pt x="353" y="127"/>
                                </a:lnTo>
                                <a:lnTo>
                                  <a:pt x="287" y="157"/>
                                </a:lnTo>
                                <a:lnTo>
                                  <a:pt x="217" y="184"/>
                                </a:lnTo>
                                <a:lnTo>
                                  <a:pt x="146" y="204"/>
                                </a:lnTo>
                                <a:lnTo>
                                  <a:pt x="73" y="217"/>
                                </a:lnTo>
                                <a:lnTo>
                                  <a:pt x="0" y="224"/>
                                </a:lnTo>
                                <a:lnTo>
                                  <a:pt x="0" y="678"/>
                                </a:lnTo>
                                <a:lnTo>
                                  <a:pt x="56" y="675"/>
                                </a:lnTo>
                                <a:lnTo>
                                  <a:pt x="116" y="668"/>
                                </a:lnTo>
                                <a:lnTo>
                                  <a:pt x="173" y="661"/>
                                </a:lnTo>
                                <a:lnTo>
                                  <a:pt x="233" y="648"/>
                                </a:lnTo>
                                <a:lnTo>
                                  <a:pt x="290" y="635"/>
                                </a:lnTo>
                                <a:lnTo>
                                  <a:pt x="347" y="618"/>
                                </a:lnTo>
                                <a:lnTo>
                                  <a:pt x="400" y="601"/>
                                </a:lnTo>
                                <a:lnTo>
                                  <a:pt x="457" y="581"/>
                                </a:lnTo>
                                <a:lnTo>
                                  <a:pt x="510" y="554"/>
                                </a:lnTo>
                                <a:lnTo>
                                  <a:pt x="567" y="531"/>
                                </a:lnTo>
                                <a:lnTo>
                                  <a:pt x="617" y="501"/>
                                </a:lnTo>
                                <a:lnTo>
                                  <a:pt x="670" y="471"/>
                                </a:lnTo>
                                <a:lnTo>
                                  <a:pt x="720" y="438"/>
                                </a:lnTo>
                                <a:lnTo>
                                  <a:pt x="770" y="401"/>
                                </a:lnTo>
                                <a:lnTo>
                                  <a:pt x="817" y="361"/>
                                </a:lnTo>
                                <a:lnTo>
                                  <a:pt x="864" y="321"/>
                                </a:lnTo>
                                <a:lnTo>
                                  <a:pt x="543" y="0"/>
                                </a:lnTo>
                                <a:close/>
                              </a:path>
                            </a:pathLst>
                          </a:custGeom>
                          <a:solidFill>
                            <a:schemeClr val="accent1">
                              <a:lumMod val="60000"/>
                              <a:lumOff val="40000"/>
                            </a:schemeClr>
                          </a:solidFill>
                          <a:ln w="9525">
                            <a:noFill/>
                            <a:round/>
                          </a:ln>
                          <a:effectLst/>
                        </wps:spPr>
                        <wps:bodyPr wrap="none" anchor="ctr"/>
                      </wps:wsp>
                      <wps:wsp>
                        <wps:cNvPr id="86" name="Freeform 466" descr="KSO_WM_UNIT_INDEX=1_3&amp;KSO_WM_UNIT_TYPE=n_i&amp;KSO_WM_UNIT_ID=wpsdiag20164965_7*n_i*1_3&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wps:cNvSpPr/>
                        <wps:spPr bwMode="auto">
                          <a:xfrm rot="21065964">
                            <a:off x="196285" y="657429"/>
                            <a:ext cx="273709" cy="214786"/>
                          </a:xfrm>
                          <a:custGeom>
                            <a:avLst/>
                            <a:gdLst/>
                            <a:ahLst/>
                            <a:cxnLst>
                              <a:cxn ang="0">
                                <a:pos x="0" y="321"/>
                              </a:cxn>
                              <a:cxn ang="0">
                                <a:pos x="0" y="321"/>
                              </a:cxn>
                              <a:cxn ang="0">
                                <a:pos x="47" y="361"/>
                              </a:cxn>
                              <a:cxn ang="0">
                                <a:pos x="94" y="401"/>
                              </a:cxn>
                              <a:cxn ang="0">
                                <a:pos x="144" y="438"/>
                              </a:cxn>
                              <a:cxn ang="0">
                                <a:pos x="194" y="471"/>
                              </a:cxn>
                              <a:cxn ang="0">
                                <a:pos x="244" y="501"/>
                              </a:cxn>
                              <a:cxn ang="0">
                                <a:pos x="297" y="531"/>
                              </a:cxn>
                              <a:cxn ang="0">
                                <a:pos x="351" y="554"/>
                              </a:cxn>
                              <a:cxn ang="0">
                                <a:pos x="407" y="581"/>
                              </a:cxn>
                              <a:cxn ang="0">
                                <a:pos x="461" y="601"/>
                              </a:cxn>
                              <a:cxn ang="0">
                                <a:pos x="517" y="618"/>
                              </a:cxn>
                              <a:cxn ang="0">
                                <a:pos x="574" y="635"/>
                              </a:cxn>
                              <a:cxn ang="0">
                                <a:pos x="631" y="648"/>
                              </a:cxn>
                              <a:cxn ang="0">
                                <a:pos x="691" y="661"/>
                              </a:cxn>
                              <a:cxn ang="0">
                                <a:pos x="748" y="668"/>
                              </a:cxn>
                              <a:cxn ang="0">
                                <a:pos x="804" y="675"/>
                              </a:cxn>
                              <a:cxn ang="0">
                                <a:pos x="864" y="678"/>
                              </a:cxn>
                              <a:cxn ang="0">
                                <a:pos x="864" y="224"/>
                              </a:cxn>
                              <a:cxn ang="0">
                                <a:pos x="791" y="217"/>
                              </a:cxn>
                              <a:cxn ang="0">
                                <a:pos x="718" y="204"/>
                              </a:cxn>
                              <a:cxn ang="0">
                                <a:pos x="647" y="184"/>
                              </a:cxn>
                              <a:cxn ang="0">
                                <a:pos x="577" y="157"/>
                              </a:cxn>
                              <a:cxn ang="0">
                                <a:pos x="511" y="127"/>
                              </a:cxn>
                              <a:cxn ang="0">
                                <a:pos x="444" y="90"/>
                              </a:cxn>
                              <a:cxn ang="0">
                                <a:pos x="381" y="47"/>
                              </a:cxn>
                              <a:cxn ang="0">
                                <a:pos x="321" y="0"/>
                              </a:cxn>
                              <a:cxn ang="0">
                                <a:pos x="0" y="321"/>
                              </a:cxn>
                            </a:cxnLst>
                            <a:rect l="0" t="0" r="r" b="b"/>
                            <a:pathLst>
                              <a:path w="864" h="678">
                                <a:moveTo>
                                  <a:pt x="0" y="321"/>
                                </a:moveTo>
                                <a:lnTo>
                                  <a:pt x="0" y="321"/>
                                </a:lnTo>
                                <a:lnTo>
                                  <a:pt x="47" y="361"/>
                                </a:lnTo>
                                <a:lnTo>
                                  <a:pt x="94" y="401"/>
                                </a:lnTo>
                                <a:lnTo>
                                  <a:pt x="144" y="438"/>
                                </a:lnTo>
                                <a:lnTo>
                                  <a:pt x="194" y="471"/>
                                </a:lnTo>
                                <a:lnTo>
                                  <a:pt x="244" y="501"/>
                                </a:lnTo>
                                <a:lnTo>
                                  <a:pt x="297" y="531"/>
                                </a:lnTo>
                                <a:lnTo>
                                  <a:pt x="351" y="554"/>
                                </a:lnTo>
                                <a:lnTo>
                                  <a:pt x="407" y="581"/>
                                </a:lnTo>
                                <a:lnTo>
                                  <a:pt x="461" y="601"/>
                                </a:lnTo>
                                <a:lnTo>
                                  <a:pt x="517" y="618"/>
                                </a:lnTo>
                                <a:lnTo>
                                  <a:pt x="574" y="635"/>
                                </a:lnTo>
                                <a:lnTo>
                                  <a:pt x="631" y="648"/>
                                </a:lnTo>
                                <a:lnTo>
                                  <a:pt x="691" y="661"/>
                                </a:lnTo>
                                <a:lnTo>
                                  <a:pt x="748" y="668"/>
                                </a:lnTo>
                                <a:lnTo>
                                  <a:pt x="804" y="675"/>
                                </a:lnTo>
                                <a:lnTo>
                                  <a:pt x="864" y="678"/>
                                </a:lnTo>
                                <a:lnTo>
                                  <a:pt x="864" y="224"/>
                                </a:lnTo>
                                <a:lnTo>
                                  <a:pt x="791" y="217"/>
                                </a:lnTo>
                                <a:lnTo>
                                  <a:pt x="718" y="204"/>
                                </a:lnTo>
                                <a:lnTo>
                                  <a:pt x="647" y="184"/>
                                </a:lnTo>
                                <a:lnTo>
                                  <a:pt x="577" y="157"/>
                                </a:lnTo>
                                <a:lnTo>
                                  <a:pt x="511" y="127"/>
                                </a:lnTo>
                                <a:lnTo>
                                  <a:pt x="444" y="90"/>
                                </a:lnTo>
                                <a:lnTo>
                                  <a:pt x="381" y="47"/>
                                </a:lnTo>
                                <a:lnTo>
                                  <a:pt x="321" y="0"/>
                                </a:lnTo>
                                <a:lnTo>
                                  <a:pt x="0" y="321"/>
                                </a:lnTo>
                                <a:close/>
                              </a:path>
                            </a:pathLst>
                          </a:custGeom>
                          <a:solidFill>
                            <a:schemeClr val="accent5"/>
                          </a:solidFill>
                          <a:ln w="9525">
                            <a:noFill/>
                            <a:round/>
                          </a:ln>
                          <a:effectLst/>
                        </wps:spPr>
                        <wps:bodyPr wrap="none" anchor="ctr"/>
                      </wps:wsp>
                      <wps:wsp>
                        <wps:cNvPr id="87" name="Freeform 467" descr="KSO_WM_UNIT_INDEX=1_4&amp;KSO_WM_UNIT_TYPE=n_i&amp;KSO_WM_UNIT_ID=wpsdiag20164965_7*n_i*1_4&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5&amp;KSO_WM_UNIT_FILL_BACK_SCHEMECOLOR_INDEX=0"/>
                        <wps:cNvSpPr/>
                        <wps:spPr bwMode="auto">
                          <a:xfrm>
                            <a:off x="0" y="456957"/>
                            <a:ext cx="215736" cy="274977"/>
                          </a:xfrm>
                          <a:custGeom>
                            <a:avLst/>
                            <a:gdLst/>
                            <a:ahLst/>
                            <a:cxnLst>
                              <a:cxn ang="0">
                                <a:pos x="454" y="0"/>
                              </a:cxn>
                              <a:cxn ang="0">
                                <a:pos x="0" y="0"/>
                              </a:cxn>
                              <a:cxn ang="0">
                                <a:pos x="3" y="60"/>
                              </a:cxn>
                              <a:cxn ang="0">
                                <a:pos x="10" y="116"/>
                              </a:cxn>
                              <a:cxn ang="0">
                                <a:pos x="20" y="177"/>
                              </a:cxn>
                              <a:cxn ang="0">
                                <a:pos x="30" y="233"/>
                              </a:cxn>
                              <a:cxn ang="0">
                                <a:pos x="43" y="290"/>
                              </a:cxn>
                              <a:cxn ang="0">
                                <a:pos x="60" y="347"/>
                              </a:cxn>
                              <a:cxn ang="0">
                                <a:pos x="80" y="404"/>
                              </a:cxn>
                              <a:cxn ang="0">
                                <a:pos x="100" y="460"/>
                              </a:cxn>
                              <a:cxn ang="0">
                                <a:pos x="123" y="514"/>
                              </a:cxn>
                              <a:cxn ang="0">
                                <a:pos x="150" y="567"/>
                              </a:cxn>
                              <a:cxn ang="0">
                                <a:pos x="177" y="621"/>
                              </a:cxn>
                              <a:cxn ang="0">
                                <a:pos x="210" y="671"/>
                              </a:cxn>
                              <a:cxn ang="0">
                                <a:pos x="244" y="724"/>
                              </a:cxn>
                              <a:cxn ang="0">
                                <a:pos x="280" y="771"/>
                              </a:cxn>
                              <a:cxn ang="0">
                                <a:pos x="317" y="821"/>
                              </a:cxn>
                              <a:cxn ang="0">
                                <a:pos x="360" y="868"/>
                              </a:cxn>
                              <a:cxn ang="0">
                                <a:pos x="681" y="544"/>
                              </a:cxn>
                              <a:cxn ang="0">
                                <a:pos x="630" y="484"/>
                              </a:cxn>
                              <a:cxn ang="0">
                                <a:pos x="587" y="420"/>
                              </a:cxn>
                              <a:cxn ang="0">
                                <a:pos x="550" y="357"/>
                              </a:cxn>
                              <a:cxn ang="0">
                                <a:pos x="520" y="287"/>
                              </a:cxn>
                              <a:cxn ang="0">
                                <a:pos x="494" y="217"/>
                              </a:cxn>
                              <a:cxn ang="0">
                                <a:pos x="477" y="146"/>
                              </a:cxn>
                              <a:cxn ang="0">
                                <a:pos x="464" y="73"/>
                              </a:cxn>
                              <a:cxn ang="0">
                                <a:pos x="454" y="0"/>
                              </a:cxn>
                            </a:cxnLst>
                            <a:rect l="0" t="0" r="r" b="b"/>
                            <a:pathLst>
                              <a:path w="681" h="868">
                                <a:moveTo>
                                  <a:pt x="454" y="0"/>
                                </a:moveTo>
                                <a:lnTo>
                                  <a:pt x="0" y="0"/>
                                </a:lnTo>
                                <a:lnTo>
                                  <a:pt x="3" y="60"/>
                                </a:lnTo>
                                <a:lnTo>
                                  <a:pt x="10" y="116"/>
                                </a:lnTo>
                                <a:lnTo>
                                  <a:pt x="20" y="177"/>
                                </a:lnTo>
                                <a:lnTo>
                                  <a:pt x="30" y="233"/>
                                </a:lnTo>
                                <a:lnTo>
                                  <a:pt x="43" y="290"/>
                                </a:lnTo>
                                <a:lnTo>
                                  <a:pt x="60" y="347"/>
                                </a:lnTo>
                                <a:lnTo>
                                  <a:pt x="80" y="404"/>
                                </a:lnTo>
                                <a:lnTo>
                                  <a:pt x="100" y="460"/>
                                </a:lnTo>
                                <a:lnTo>
                                  <a:pt x="123" y="514"/>
                                </a:lnTo>
                                <a:lnTo>
                                  <a:pt x="150" y="567"/>
                                </a:lnTo>
                                <a:lnTo>
                                  <a:pt x="177" y="621"/>
                                </a:lnTo>
                                <a:lnTo>
                                  <a:pt x="210" y="671"/>
                                </a:lnTo>
                                <a:lnTo>
                                  <a:pt x="244" y="724"/>
                                </a:lnTo>
                                <a:lnTo>
                                  <a:pt x="280" y="771"/>
                                </a:lnTo>
                                <a:lnTo>
                                  <a:pt x="317" y="821"/>
                                </a:lnTo>
                                <a:lnTo>
                                  <a:pt x="360" y="868"/>
                                </a:lnTo>
                                <a:lnTo>
                                  <a:pt x="681" y="544"/>
                                </a:lnTo>
                                <a:lnTo>
                                  <a:pt x="630" y="484"/>
                                </a:lnTo>
                                <a:lnTo>
                                  <a:pt x="587" y="420"/>
                                </a:lnTo>
                                <a:lnTo>
                                  <a:pt x="550" y="357"/>
                                </a:lnTo>
                                <a:lnTo>
                                  <a:pt x="520" y="287"/>
                                </a:lnTo>
                                <a:lnTo>
                                  <a:pt x="494" y="217"/>
                                </a:lnTo>
                                <a:lnTo>
                                  <a:pt x="477" y="146"/>
                                </a:lnTo>
                                <a:lnTo>
                                  <a:pt x="464" y="73"/>
                                </a:lnTo>
                                <a:lnTo>
                                  <a:pt x="454" y="0"/>
                                </a:lnTo>
                                <a:close/>
                              </a:path>
                            </a:pathLst>
                          </a:custGeom>
                          <a:solidFill>
                            <a:schemeClr val="accent4"/>
                          </a:solidFill>
                          <a:ln w="9525">
                            <a:noFill/>
                            <a:round/>
                          </a:ln>
                          <a:effectLst/>
                        </wps:spPr>
                        <wps:bodyPr wrap="none" anchor="ctr"/>
                      </wps:wsp>
                      <wps:wsp>
                        <wps:cNvPr id="88" name="Freeform 468" descr="KSO_WM_UNIT_INDEX=1_5&amp;KSO_WM_UNIT_TYPE=n_i&amp;KSO_WM_UNIT_ID=wpsdiag20164965_7*n_i*1_5&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wps:cNvSpPr/>
                        <wps:spPr bwMode="auto">
                          <a:xfrm>
                            <a:off x="3733" y="122855"/>
                            <a:ext cx="199796" cy="274026"/>
                          </a:xfrm>
                          <a:custGeom>
                            <a:avLst/>
                            <a:gdLst/>
                            <a:ahLst/>
                            <a:cxnLst>
                              <a:cxn ang="0">
                                <a:pos x="454" y="865"/>
                              </a:cxn>
                              <a:cxn ang="0">
                                <a:pos x="454" y="865"/>
                              </a:cxn>
                              <a:cxn ang="0">
                                <a:pos x="464" y="795"/>
                              </a:cxn>
                              <a:cxn ang="0">
                                <a:pos x="477" y="722"/>
                              </a:cxn>
                              <a:cxn ang="0">
                                <a:pos x="494" y="651"/>
                              </a:cxn>
                              <a:cxn ang="0">
                                <a:pos x="520" y="581"/>
                              </a:cxn>
                              <a:cxn ang="0">
                                <a:pos x="550" y="511"/>
                              </a:cxn>
                              <a:cxn ang="0">
                                <a:pos x="587" y="444"/>
                              </a:cxn>
                              <a:cxn ang="0">
                                <a:pos x="630" y="384"/>
                              </a:cxn>
                              <a:cxn ang="0">
                                <a:pos x="681" y="321"/>
                              </a:cxn>
                              <a:cxn ang="0">
                                <a:pos x="360" y="0"/>
                              </a:cxn>
                              <a:cxn ang="0">
                                <a:pos x="317" y="47"/>
                              </a:cxn>
                              <a:cxn ang="0">
                                <a:pos x="280" y="97"/>
                              </a:cxn>
                              <a:cxn ang="0">
                                <a:pos x="244" y="144"/>
                              </a:cxn>
                              <a:cxn ang="0">
                                <a:pos x="210" y="197"/>
                              </a:cxn>
                              <a:cxn ang="0">
                                <a:pos x="177" y="247"/>
                              </a:cxn>
                              <a:cxn ang="0">
                                <a:pos x="150" y="301"/>
                              </a:cxn>
                              <a:cxn ang="0">
                                <a:pos x="123" y="354"/>
                              </a:cxn>
                              <a:cxn ang="0">
                                <a:pos x="100" y="408"/>
                              </a:cxn>
                              <a:cxn ang="0">
                                <a:pos x="80" y="464"/>
                              </a:cxn>
                              <a:cxn ang="0">
                                <a:pos x="60" y="521"/>
                              </a:cxn>
                              <a:cxn ang="0">
                                <a:pos x="43" y="578"/>
                              </a:cxn>
                              <a:cxn ang="0">
                                <a:pos x="30" y="635"/>
                              </a:cxn>
                              <a:cxn ang="0">
                                <a:pos x="20" y="691"/>
                              </a:cxn>
                              <a:cxn ang="0">
                                <a:pos x="10" y="752"/>
                              </a:cxn>
                              <a:cxn ang="0">
                                <a:pos x="3" y="808"/>
                              </a:cxn>
                              <a:cxn ang="0">
                                <a:pos x="0" y="865"/>
                              </a:cxn>
                              <a:cxn ang="0">
                                <a:pos x="454" y="865"/>
                              </a:cxn>
                            </a:cxnLst>
                            <a:rect l="0" t="0" r="r" b="b"/>
                            <a:pathLst>
                              <a:path w="681" h="865">
                                <a:moveTo>
                                  <a:pt x="454" y="865"/>
                                </a:moveTo>
                                <a:lnTo>
                                  <a:pt x="454" y="865"/>
                                </a:lnTo>
                                <a:lnTo>
                                  <a:pt x="464" y="795"/>
                                </a:lnTo>
                                <a:lnTo>
                                  <a:pt x="477" y="722"/>
                                </a:lnTo>
                                <a:lnTo>
                                  <a:pt x="494" y="651"/>
                                </a:lnTo>
                                <a:lnTo>
                                  <a:pt x="520" y="581"/>
                                </a:lnTo>
                                <a:lnTo>
                                  <a:pt x="550" y="511"/>
                                </a:lnTo>
                                <a:lnTo>
                                  <a:pt x="587" y="444"/>
                                </a:lnTo>
                                <a:lnTo>
                                  <a:pt x="630" y="384"/>
                                </a:lnTo>
                                <a:lnTo>
                                  <a:pt x="681" y="321"/>
                                </a:lnTo>
                                <a:lnTo>
                                  <a:pt x="360" y="0"/>
                                </a:lnTo>
                                <a:lnTo>
                                  <a:pt x="317" y="47"/>
                                </a:lnTo>
                                <a:lnTo>
                                  <a:pt x="280" y="97"/>
                                </a:lnTo>
                                <a:lnTo>
                                  <a:pt x="244" y="144"/>
                                </a:lnTo>
                                <a:lnTo>
                                  <a:pt x="210" y="197"/>
                                </a:lnTo>
                                <a:lnTo>
                                  <a:pt x="177" y="247"/>
                                </a:lnTo>
                                <a:lnTo>
                                  <a:pt x="150" y="301"/>
                                </a:lnTo>
                                <a:lnTo>
                                  <a:pt x="123" y="354"/>
                                </a:lnTo>
                                <a:lnTo>
                                  <a:pt x="100" y="408"/>
                                </a:lnTo>
                                <a:lnTo>
                                  <a:pt x="80" y="464"/>
                                </a:lnTo>
                                <a:lnTo>
                                  <a:pt x="60" y="521"/>
                                </a:lnTo>
                                <a:lnTo>
                                  <a:pt x="43" y="578"/>
                                </a:lnTo>
                                <a:lnTo>
                                  <a:pt x="30" y="635"/>
                                </a:lnTo>
                                <a:lnTo>
                                  <a:pt x="20" y="691"/>
                                </a:lnTo>
                                <a:lnTo>
                                  <a:pt x="10" y="752"/>
                                </a:lnTo>
                                <a:lnTo>
                                  <a:pt x="3" y="808"/>
                                </a:lnTo>
                                <a:lnTo>
                                  <a:pt x="0" y="865"/>
                                </a:lnTo>
                                <a:lnTo>
                                  <a:pt x="454" y="865"/>
                                </a:lnTo>
                                <a:close/>
                              </a:path>
                            </a:pathLst>
                          </a:custGeom>
                          <a:solidFill>
                            <a:schemeClr val="accent6">
                              <a:lumMod val="75000"/>
                            </a:schemeClr>
                          </a:solidFill>
                          <a:ln w="9525">
                            <a:noFill/>
                            <a:round/>
                          </a:ln>
                          <a:effectLst/>
                        </wps:spPr>
                        <wps:bodyPr wrap="none" anchor="ctr"/>
                      </wps:wsp>
                      <wps:wsp>
                        <wps:cNvPr id="89" name="Freeform 469" descr="KSO_WM_UNIT_INDEX=1_6&amp;KSO_WM_UNIT_TYPE=n_i&amp;KSO_WM_UNIT_ID=wpsdiag20164965_7*n_i*1_6&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5&amp;KSO_WM_UNIT_FILL_BACK_SCHEMECOLOR_INDEX=0"/>
                        <wps:cNvSpPr/>
                        <wps:spPr bwMode="auto">
                          <a:xfrm rot="325786">
                            <a:off x="173166" y="0"/>
                            <a:ext cx="273709" cy="193625"/>
                          </a:xfrm>
                          <a:custGeom>
                            <a:avLst/>
                            <a:gdLst/>
                            <a:ahLst/>
                            <a:cxnLst>
                              <a:cxn ang="0">
                                <a:pos x="321" y="678"/>
                              </a:cxn>
                              <a:cxn ang="0">
                                <a:pos x="321" y="678"/>
                              </a:cxn>
                              <a:cxn ang="0">
                                <a:pos x="381" y="631"/>
                              </a:cxn>
                              <a:cxn ang="0">
                                <a:pos x="444" y="588"/>
                              </a:cxn>
                              <a:cxn ang="0">
                                <a:pos x="511" y="551"/>
                              </a:cxn>
                              <a:cxn ang="0">
                                <a:pos x="577" y="521"/>
                              </a:cxn>
                              <a:cxn ang="0">
                                <a:pos x="647" y="494"/>
                              </a:cxn>
                              <a:cxn ang="0">
                                <a:pos x="718" y="474"/>
                              </a:cxn>
                              <a:cxn ang="0">
                                <a:pos x="791" y="461"/>
                              </a:cxn>
                              <a:cxn ang="0">
                                <a:pos x="864" y="454"/>
                              </a:cxn>
                              <a:cxn ang="0">
                                <a:pos x="864" y="0"/>
                              </a:cxn>
                              <a:cxn ang="0">
                                <a:pos x="804" y="3"/>
                              </a:cxn>
                              <a:cxn ang="0">
                                <a:pos x="748" y="10"/>
                              </a:cxn>
                              <a:cxn ang="0">
                                <a:pos x="691" y="17"/>
                              </a:cxn>
                              <a:cxn ang="0">
                                <a:pos x="631" y="30"/>
                              </a:cxn>
                              <a:cxn ang="0">
                                <a:pos x="574" y="43"/>
                              </a:cxn>
                              <a:cxn ang="0">
                                <a:pos x="517" y="60"/>
                              </a:cxn>
                              <a:cxn ang="0">
                                <a:pos x="461" y="77"/>
                              </a:cxn>
                              <a:cxn ang="0">
                                <a:pos x="407" y="97"/>
                              </a:cxn>
                              <a:cxn ang="0">
                                <a:pos x="351" y="124"/>
                              </a:cxn>
                              <a:cxn ang="0">
                                <a:pos x="297" y="147"/>
                              </a:cxn>
                              <a:cxn ang="0">
                                <a:pos x="244" y="177"/>
                              </a:cxn>
                              <a:cxn ang="0">
                                <a:pos x="194" y="207"/>
                              </a:cxn>
                              <a:cxn ang="0">
                                <a:pos x="144" y="240"/>
                              </a:cxn>
                              <a:cxn ang="0">
                                <a:pos x="94" y="277"/>
                              </a:cxn>
                              <a:cxn ang="0">
                                <a:pos x="47" y="317"/>
                              </a:cxn>
                              <a:cxn ang="0">
                                <a:pos x="0" y="357"/>
                              </a:cxn>
                              <a:cxn ang="0">
                                <a:pos x="321" y="678"/>
                              </a:cxn>
                            </a:cxnLst>
                            <a:rect l="0" t="0" r="r" b="b"/>
                            <a:pathLst>
                              <a:path w="864" h="678">
                                <a:moveTo>
                                  <a:pt x="321" y="678"/>
                                </a:moveTo>
                                <a:lnTo>
                                  <a:pt x="321" y="678"/>
                                </a:lnTo>
                                <a:lnTo>
                                  <a:pt x="381" y="631"/>
                                </a:lnTo>
                                <a:lnTo>
                                  <a:pt x="444" y="588"/>
                                </a:lnTo>
                                <a:lnTo>
                                  <a:pt x="511" y="551"/>
                                </a:lnTo>
                                <a:lnTo>
                                  <a:pt x="577" y="521"/>
                                </a:lnTo>
                                <a:lnTo>
                                  <a:pt x="647" y="494"/>
                                </a:lnTo>
                                <a:lnTo>
                                  <a:pt x="718" y="474"/>
                                </a:lnTo>
                                <a:lnTo>
                                  <a:pt x="791" y="461"/>
                                </a:lnTo>
                                <a:lnTo>
                                  <a:pt x="864" y="454"/>
                                </a:lnTo>
                                <a:lnTo>
                                  <a:pt x="864" y="0"/>
                                </a:lnTo>
                                <a:lnTo>
                                  <a:pt x="804" y="3"/>
                                </a:lnTo>
                                <a:lnTo>
                                  <a:pt x="748" y="10"/>
                                </a:lnTo>
                                <a:lnTo>
                                  <a:pt x="691" y="17"/>
                                </a:lnTo>
                                <a:lnTo>
                                  <a:pt x="631" y="30"/>
                                </a:lnTo>
                                <a:lnTo>
                                  <a:pt x="574" y="43"/>
                                </a:lnTo>
                                <a:lnTo>
                                  <a:pt x="517" y="60"/>
                                </a:lnTo>
                                <a:lnTo>
                                  <a:pt x="461" y="77"/>
                                </a:lnTo>
                                <a:lnTo>
                                  <a:pt x="407" y="97"/>
                                </a:lnTo>
                                <a:lnTo>
                                  <a:pt x="351" y="124"/>
                                </a:lnTo>
                                <a:lnTo>
                                  <a:pt x="297" y="147"/>
                                </a:lnTo>
                                <a:lnTo>
                                  <a:pt x="244" y="177"/>
                                </a:lnTo>
                                <a:lnTo>
                                  <a:pt x="194" y="207"/>
                                </a:lnTo>
                                <a:lnTo>
                                  <a:pt x="144" y="240"/>
                                </a:lnTo>
                                <a:lnTo>
                                  <a:pt x="94" y="277"/>
                                </a:lnTo>
                                <a:lnTo>
                                  <a:pt x="47" y="317"/>
                                </a:lnTo>
                                <a:lnTo>
                                  <a:pt x="0" y="357"/>
                                </a:lnTo>
                                <a:lnTo>
                                  <a:pt x="321" y="678"/>
                                </a:lnTo>
                                <a:close/>
                              </a:path>
                            </a:pathLst>
                          </a:custGeom>
                          <a:solidFill>
                            <a:schemeClr val="accent6"/>
                          </a:solidFill>
                          <a:ln w="9525">
                            <a:noFill/>
                            <a:round/>
                          </a:ln>
                          <a:effectLst/>
                        </wps:spPr>
                        <wps:bodyPr wrap="none" anchor="ctr"/>
                      </wps:wsp>
                      <wps:wsp>
                        <wps:cNvPr id="90" name="Oval 461" descr="KSO_WM_UNIT_INDEX=1_7&amp;KSO_WM_UNIT_TYPE=n_i&amp;KSO_WM_UNIT_ID=wpsdiag20164965_7*n_i*1_7&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wps:cNvSpPr>
                          <a:spLocks noChangeArrowheads="1"/>
                        </wps:cNvSpPr>
                        <wps:spPr bwMode="auto">
                          <a:xfrm>
                            <a:off x="217640" y="212340"/>
                            <a:ext cx="423946" cy="430618"/>
                          </a:xfrm>
                          <a:prstGeom prst="ellipse">
                            <a:avLst/>
                          </a:prstGeom>
                          <a:solidFill>
                            <a:srgbClr val="C3D5DF"/>
                          </a:solidFill>
                          <a:ln>
                            <a:noFill/>
                          </a:ln>
                        </wps:spPr>
                        <wps:bodyPr wrap="none" anchor="ctr"/>
                      </wps:wsp>
                      <wps:wsp>
                        <wps:cNvPr id="91" name="箭头: 下 91" descr="KSO_WM_UNIT_INDEX=1_8&amp;KSO_WM_UNIT_TYPE=n_i&amp;KSO_WM_UNIT_ID=wpsdiag20164965_7*n_i*1_8&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wps:cNvSpPr/>
                        <wps:spPr>
                          <a:xfrm rot="19023806">
                            <a:off x="577696" y="590638"/>
                            <a:ext cx="33177" cy="54229"/>
                          </a:xfrm>
                          <a:prstGeom prst="downArrow">
                            <a:avLst/>
                          </a:prstGeom>
                          <a:gradFill flip="none" rotWithShape="1">
                            <a:gsLst>
                              <a:gs pos="0">
                                <a:srgbClr val="B5BDBE"/>
                              </a:gs>
                              <a:gs pos="50000">
                                <a:schemeClr val="accent3">
                                  <a:lumMod val="60000"/>
                                  <a:lumOff val="40000"/>
                                </a:schemeClr>
                              </a:gs>
                              <a:gs pos="100000">
                                <a:schemeClr val="accent3">
                                  <a:lumMod val="60000"/>
                                  <a:lumOff val="40000"/>
                                </a:schemeClr>
                              </a:gs>
                            </a:gsLst>
                            <a:lin ang="5400000" scaled="0"/>
                            <a:tileRect/>
                          </a:gradFill>
                          <a:ln w="6350" cap="flat" cmpd="sng" algn="ctr">
                            <a:noFill/>
                            <a:prstDash val="solid"/>
                            <a:miter lim="800000"/>
                          </a:ln>
                          <a:effectLst/>
                        </wps:spPr>
                        <wps:bodyPr rtlCol="0" anchor="ctr"/>
                      </wps:wsp>
                      <wps:wsp>
                        <wps:cNvPr id="92" name="箭头: 下 92" descr="KSO_WM_UNIT_INDEX=1_9&amp;KSO_WM_UNIT_TYPE=n_i&amp;KSO_WM_UNIT_ID=wpsdiag20164965_7*n_i*1_9&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wps:cNvSpPr/>
                        <wps:spPr>
                          <a:xfrm rot="906865">
                            <a:off x="377614" y="648297"/>
                            <a:ext cx="33177" cy="54229"/>
                          </a:xfrm>
                          <a:prstGeom prst="downArrow">
                            <a:avLst/>
                          </a:prstGeom>
                          <a:gradFill flip="none" rotWithShape="1">
                            <a:gsLst>
                              <a:gs pos="0">
                                <a:srgbClr val="B5BDBE"/>
                              </a:gs>
                              <a:gs pos="50000">
                                <a:schemeClr val="accent3">
                                  <a:lumMod val="60000"/>
                                  <a:lumOff val="40000"/>
                                </a:schemeClr>
                              </a:gs>
                              <a:gs pos="100000">
                                <a:schemeClr val="accent3">
                                  <a:lumMod val="60000"/>
                                  <a:lumOff val="40000"/>
                                </a:schemeClr>
                              </a:gs>
                            </a:gsLst>
                            <a:lin ang="5400000" scaled="0"/>
                            <a:tileRect/>
                          </a:gradFill>
                          <a:ln w="6350" cap="flat" cmpd="sng" algn="ctr">
                            <a:noFill/>
                            <a:prstDash val="solid"/>
                            <a:miter lim="800000"/>
                          </a:ln>
                          <a:effectLst/>
                        </wps:spPr>
                        <wps:bodyPr rtlCol="0" anchor="ctr"/>
                      </wps:wsp>
                      <wps:wsp>
                        <wps:cNvPr id="93" name="箭头: 下 93" descr="KSO_WM_UNIT_INDEX=1_10&amp;KSO_WM_UNIT_TYPE=n_i&amp;KSO_WM_UNIT_ID=wpsdiag20164965_7*n_i*1_10&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wps:cNvSpPr/>
                        <wps:spPr>
                          <a:xfrm rot="3990778">
                            <a:off x="189187" y="516495"/>
                            <a:ext cx="33177" cy="54229"/>
                          </a:xfrm>
                          <a:prstGeom prst="downArrow">
                            <a:avLst/>
                          </a:prstGeom>
                          <a:gradFill flip="none" rotWithShape="1">
                            <a:gsLst>
                              <a:gs pos="0">
                                <a:srgbClr val="B5BDBE"/>
                              </a:gs>
                              <a:gs pos="50000">
                                <a:schemeClr val="accent3">
                                  <a:lumMod val="60000"/>
                                  <a:lumOff val="40000"/>
                                </a:schemeClr>
                              </a:gs>
                              <a:gs pos="100000">
                                <a:schemeClr val="accent3">
                                  <a:lumMod val="60000"/>
                                  <a:lumOff val="40000"/>
                                </a:schemeClr>
                              </a:gs>
                            </a:gsLst>
                            <a:lin ang="5400000" scaled="0"/>
                            <a:tileRect/>
                          </a:gradFill>
                          <a:ln w="6350" cap="flat" cmpd="sng" algn="ctr">
                            <a:noFill/>
                            <a:prstDash val="solid"/>
                            <a:miter lim="800000"/>
                          </a:ln>
                          <a:effectLst/>
                        </wps:spPr>
                        <wps:bodyPr rtlCol="0" anchor="ctr"/>
                      </wps:wsp>
                      <wps:wsp>
                        <wps:cNvPr id="94" name="箭头: 下 94" descr="KSO_WM_UNIT_INDEX=1_11&amp;KSO_WM_UNIT_TYPE=n_i&amp;KSO_WM_UNIT_ID=wpsdiag20164965_7*n_i*1_11&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wps:cNvSpPr/>
                        <wps:spPr>
                          <a:xfrm rot="6632152">
                            <a:off x="178568" y="306501"/>
                            <a:ext cx="34935" cy="54934"/>
                          </a:xfrm>
                          <a:prstGeom prst="downArrow">
                            <a:avLst/>
                          </a:prstGeom>
                          <a:gradFill flip="none" rotWithShape="1">
                            <a:gsLst>
                              <a:gs pos="0">
                                <a:srgbClr val="B5BDBE"/>
                              </a:gs>
                              <a:gs pos="50000">
                                <a:schemeClr val="accent3">
                                  <a:lumMod val="60000"/>
                                  <a:lumOff val="40000"/>
                                </a:schemeClr>
                              </a:gs>
                              <a:gs pos="100000">
                                <a:schemeClr val="accent3">
                                  <a:lumMod val="60000"/>
                                  <a:lumOff val="40000"/>
                                </a:schemeClr>
                              </a:gs>
                            </a:gsLst>
                            <a:lin ang="5400000" scaled="0"/>
                            <a:tileRect/>
                          </a:gradFill>
                          <a:ln w="6350" cap="flat" cmpd="sng" algn="ctr">
                            <a:noFill/>
                            <a:prstDash val="solid"/>
                            <a:miter lim="800000"/>
                          </a:ln>
                          <a:effectLst/>
                        </wps:spPr>
                        <wps:bodyPr rtlCol="0" anchor="ctr"/>
                      </wps:wsp>
                      <wps:wsp>
                        <wps:cNvPr id="95" name="箭头: 下 95" descr="KSO_WM_UNIT_INDEX=1_12&amp;KSO_WM_UNIT_TYPE=n_i&amp;KSO_WM_UNIT_ID=wpsdiag20164965_7*n_i*1_12&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wps:cNvSpPr/>
                        <wps:spPr>
                          <a:xfrm rot="9633936">
                            <a:off x="347757" y="166257"/>
                            <a:ext cx="33897" cy="46817"/>
                          </a:xfrm>
                          <a:prstGeom prst="downArrow">
                            <a:avLst/>
                          </a:prstGeom>
                          <a:gradFill flip="none" rotWithShape="1">
                            <a:gsLst>
                              <a:gs pos="0">
                                <a:srgbClr val="B5BDBE"/>
                              </a:gs>
                              <a:gs pos="50000">
                                <a:schemeClr val="accent3">
                                  <a:lumMod val="60000"/>
                                  <a:lumOff val="40000"/>
                                </a:schemeClr>
                              </a:gs>
                              <a:gs pos="100000">
                                <a:schemeClr val="accent3">
                                  <a:lumMod val="60000"/>
                                  <a:lumOff val="40000"/>
                                </a:schemeClr>
                              </a:gs>
                            </a:gsLst>
                            <a:lin ang="5400000" scaled="0"/>
                            <a:tileRect/>
                          </a:gradFill>
                          <a:ln w="6350" cap="flat" cmpd="sng" algn="ctr">
                            <a:noFill/>
                            <a:prstDash val="solid"/>
                            <a:miter lim="800000"/>
                          </a:ln>
                          <a:effectLst/>
                        </wps:spPr>
                        <wps:bodyPr rtlCol="0" anchor="ctr"/>
                      </wps:wsp>
                      <wps:wsp>
                        <wps:cNvPr id="96" name="箭头: 下 96" descr="KSO_WM_UNIT_INDEX=1_13&amp;KSO_WM_UNIT_TYPE=n_i&amp;KSO_WM_UNIT_ID=wpsdiag20164965_7*n_i*1_13&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wps:cNvSpPr/>
                        <wps:spPr>
                          <a:xfrm rot="13209510" flipH="1">
                            <a:off x="569793" y="207755"/>
                            <a:ext cx="33177" cy="54229"/>
                          </a:xfrm>
                          <a:prstGeom prst="downArrow">
                            <a:avLst/>
                          </a:prstGeom>
                          <a:gradFill flip="none" rotWithShape="1">
                            <a:gsLst>
                              <a:gs pos="0">
                                <a:srgbClr val="B5BDBE"/>
                              </a:gs>
                              <a:gs pos="50000">
                                <a:schemeClr val="accent3">
                                  <a:lumMod val="60000"/>
                                  <a:lumOff val="40000"/>
                                </a:schemeClr>
                              </a:gs>
                              <a:gs pos="100000">
                                <a:schemeClr val="accent3">
                                  <a:lumMod val="60000"/>
                                  <a:lumOff val="40000"/>
                                </a:schemeClr>
                              </a:gs>
                            </a:gsLst>
                            <a:lin ang="5400000" scaled="0"/>
                            <a:tileRect/>
                          </a:gradFill>
                          <a:ln w="6350" cap="flat" cmpd="sng" algn="ctr">
                            <a:noFill/>
                            <a:prstDash val="solid"/>
                            <a:miter lim="800000"/>
                          </a:ln>
                          <a:effectLst/>
                        </wps:spPr>
                        <wps:bodyPr rtlCol="0" anchor="ctr"/>
                      </wps:wsp>
                      <wps:wsp>
                        <wps:cNvPr id="97" name="箭头: 下 97" descr="KSO_WM_UNIT_INDEX=1_14&amp;KSO_WM_UNIT_TYPE=n_i&amp;KSO_WM_UNIT_ID=wpsdiag20164965_7*n_i*1_14&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wps:cNvSpPr/>
                        <wps:spPr>
                          <a:xfrm rot="16224214" flipH="1">
                            <a:off x="662281" y="383575"/>
                            <a:ext cx="33177" cy="54229"/>
                          </a:xfrm>
                          <a:prstGeom prst="downArrow">
                            <a:avLst/>
                          </a:prstGeom>
                          <a:gradFill flip="none" rotWithShape="1">
                            <a:gsLst>
                              <a:gs pos="0">
                                <a:srgbClr val="B5BDBE"/>
                              </a:gs>
                              <a:gs pos="50000">
                                <a:schemeClr val="accent3">
                                  <a:lumMod val="60000"/>
                                  <a:lumOff val="40000"/>
                                </a:schemeClr>
                              </a:gs>
                              <a:gs pos="100000">
                                <a:schemeClr val="accent3">
                                  <a:lumMod val="60000"/>
                                  <a:lumOff val="40000"/>
                                </a:schemeClr>
                              </a:gs>
                            </a:gsLst>
                            <a:lin ang="5400000" scaled="0"/>
                            <a:tileRect/>
                          </a:gradFill>
                          <a:ln w="6350" cap="flat" cmpd="sng" algn="ctr">
                            <a:noFill/>
                            <a:prstDash val="solid"/>
                            <a:miter lim="800000"/>
                          </a:ln>
                          <a:effectLst/>
                        </wps:spPr>
                        <wps:bodyPr rtlCol="0" anchor="ctr"/>
                      </wps:wsp>
                      <wps:wsp>
                        <wps:cNvPr id="98" name="文本框 28" descr="KSO_WM_UNIT_INDEX=1_2_5&amp;KSO_WM_UNIT_TYPE=n_h_a&amp;KSO_WM_UNIT_ID=wpsdiag20164965_7*n_h_a*1_2_5&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2&amp;KSO_WM_SLIDE_ITEM_CNT=7&amp;KSO_WM_DIAGRAM_GROUP_CODE=n1_1&amp;KSO_WM_UNIT_TEXT_FILL_TYPE=1&amp;KSO_WM_UNIT_TEXT_FILL_FORE_SCHEMECOLOR_INDEX=13"/>
                        <wps:cNvSpPr txBox="1"/>
                        <wps:spPr>
                          <a:xfrm rot="19114013" flipH="1">
                            <a:off x="529896" y="630544"/>
                            <a:ext cx="325444" cy="136882"/>
                          </a:xfrm>
                          <a:prstGeom prst="rect">
                            <a:avLst/>
                          </a:prstGeom>
                          <a:noFill/>
                        </wps:spPr>
                        <wps:txbx>
                          <w:txbxContent>
                            <w:p w14:paraId="7B8B994B">
                              <w:pPr>
                                <w:pStyle w:val="12"/>
                                <w:snapToGrid w:val="0"/>
                                <w:spacing w:beforeAutospacing="0" w:afterAutospacing="0" w:line="192" w:lineRule="auto"/>
                                <w:rPr>
                                  <w:rFonts w:ascii="Arial" w:hAnsi="Arial" w:eastAsia="微软雅黑" w:cs="Arial"/>
                                  <w:color w:val="000000"/>
                                  <w:sz w:val="18"/>
                                  <w:szCs w:val="18"/>
                                </w:rPr>
                              </w:pPr>
                              <w:r>
                                <w:rPr>
                                  <w:rFonts w:hint="eastAsia" w:ascii="Arial" w:hAnsi="Arial" w:eastAsia="微软雅黑" w:cs="Arial"/>
                                  <w:b/>
                                  <w:bCs/>
                                  <w:color w:val="000000"/>
                                  <w:sz w:val="22"/>
                                  <w:szCs w:val="22"/>
                                </w:rPr>
                                <w:t>供应链整合</w:t>
                              </w:r>
                            </w:p>
                          </w:txbxContent>
                        </wps:txbx>
                        <wps:bodyPr wrap="square" rtlCol="0">
                          <a:noAutofit/>
                        </wps:bodyPr>
                      </wps:wsp>
                      <wps:wsp>
                        <wps:cNvPr id="144" name="文本框 30" descr="KSO_WM_UNIT_INDEX=1_2_3&amp;KSO_WM_UNIT_TYPE=n_h_a&amp;KSO_WM_UNIT_ID=wpsdiag20164965_7*n_h_a*1_2_3&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4&amp;KSO_WM_SLIDE_ITEM_CNT=7&amp;KSO_WM_DIAGRAM_GROUP_CODE=n1_1&amp;KSO_WM_UNIT_TEXT_FILL_TYPE=1&amp;KSO_WM_UNIT_TEXT_FILL_FORE_SCHEMECOLOR_INDEX=13"/>
                        <wps:cNvSpPr txBox="1"/>
                        <wps:spPr>
                          <a:xfrm rot="3817892">
                            <a:off x="-9004" y="558666"/>
                            <a:ext cx="255499" cy="85635"/>
                          </a:xfrm>
                          <a:prstGeom prst="rect">
                            <a:avLst/>
                          </a:prstGeom>
                          <a:noFill/>
                        </wps:spPr>
                        <wps:txbx>
                          <w:txbxContent>
                            <w:p w14:paraId="4CC41475">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sz w:val="22"/>
                                  <w:szCs w:val="22"/>
                                </w:rPr>
                                <w:t>人才培育</w:t>
                              </w:r>
                            </w:p>
                          </w:txbxContent>
                        </wps:txbx>
                        <wps:bodyPr wrap="square" rtlCol="0">
                          <a:noAutofit/>
                        </wps:bodyPr>
                      </wps:wsp>
                      <wps:wsp>
                        <wps:cNvPr id="145" name="文本框 31" descr="KSO_WM_UNIT_INDEX=1_2_2&amp;KSO_WM_UNIT_TYPE=n_h_a&amp;KSO_WM_UNIT_ID=wpsdiag20164965_7*n_h_a*1_2_2&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5&amp;KSO_WM_SLIDE_ITEM_CNT=7&amp;KSO_WM_DIAGRAM_GROUP_CODE=n1_1&amp;KSO_WM_UNIT_TEXT_FILL_TYPE=1&amp;KSO_WM_UNIT_TEXT_FILL_FORE_SCHEMECOLOR_INDEX=13"/>
                        <wps:cNvSpPr txBox="1"/>
                        <wps:spPr>
                          <a:xfrm rot="6749116" flipV="1">
                            <a:off x="-23881" y="218123"/>
                            <a:ext cx="256587" cy="81825"/>
                          </a:xfrm>
                          <a:prstGeom prst="rect">
                            <a:avLst/>
                          </a:prstGeom>
                          <a:noFill/>
                        </wps:spPr>
                        <wps:txbx>
                          <w:txbxContent>
                            <w:p w14:paraId="0C86FC7C">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sz w:val="22"/>
                                  <w:szCs w:val="22"/>
                                </w:rPr>
                                <w:t>智慧云仓</w:t>
                              </w:r>
                            </w:p>
                          </w:txbxContent>
                        </wps:txbx>
                        <wps:bodyPr wrap="square" rtlCol="0">
                          <a:noAutofit/>
                        </wps:bodyPr>
                      </wps:wsp>
                      <wps:wsp>
                        <wps:cNvPr id="146" name="文本框 33" descr="KSO_WM_UNIT_INDEX=1_2_4&amp;KSO_WM_UNIT_TYPE=n_h_a&amp;KSO_WM_UNIT_ID=wpsdiag20164965_7*n_h_a*1_2_4&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3&amp;KSO_WM_SLIDE_ITEM_CNT=7&amp;KSO_WM_DIAGRAM_GROUP_CODE=n1_1&amp;KSO_WM_UNIT_TEXT_FILL_TYPE=1&amp;KSO_WM_UNIT_TEXT_FILL_FORE_SCHEMECOLOR_INDEX=13"/>
                        <wps:cNvSpPr txBox="1"/>
                        <wps:spPr>
                          <a:xfrm rot="847600" flipH="1">
                            <a:off x="237852" y="728124"/>
                            <a:ext cx="267064" cy="86133"/>
                          </a:xfrm>
                          <a:prstGeom prst="rect">
                            <a:avLst/>
                          </a:prstGeom>
                          <a:noFill/>
                        </wps:spPr>
                        <wps:txbx>
                          <w:txbxContent>
                            <w:p w14:paraId="6677E724">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sz w:val="22"/>
                                  <w:szCs w:val="22"/>
                                </w:rPr>
                                <w:t>项目孵化</w:t>
                              </w:r>
                            </w:p>
                          </w:txbxContent>
                        </wps:txbx>
                        <wps:bodyPr wrap="square" rtlCol="0">
                          <a:noAutofit/>
                        </wps:bodyPr>
                      </wps:wsp>
                      <wps:wsp>
                        <wps:cNvPr id="147" name="文本框 34" descr="KSO_WM_UNIT_INDEX=1_2_6&amp;KSO_WM_UNIT_TYPE=n_h_a&amp;KSO_WM_UNIT_ID=wpsdiag20164965_7*n_h_a*1_2_6&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1&amp;KSO_WM_SLIDE_ITEM_CNT=7&amp;KSO_WM_DIAGRAM_GROUP_CODE=n1_1&amp;KSO_WM_UNIT_TEXT_FILL_TYPE=1&amp;KSO_WM_UNIT_TEXT_FILL_FORE_SCHEMECOLOR_INDEX=13"/>
                        <wps:cNvSpPr txBox="1"/>
                        <wps:spPr>
                          <a:xfrm rot="15887811" flipH="1" flipV="1">
                            <a:off x="656120" y="403990"/>
                            <a:ext cx="266923" cy="80918"/>
                          </a:xfrm>
                          <a:prstGeom prst="rect">
                            <a:avLst/>
                          </a:prstGeom>
                          <a:noFill/>
                        </wps:spPr>
                        <wps:txbx>
                          <w:txbxContent>
                            <w:p w14:paraId="11A708AE">
                              <w:pPr>
                                <w:pStyle w:val="12"/>
                                <w:snapToGrid w:val="0"/>
                                <w:spacing w:beforeAutospacing="0" w:afterAutospacing="0" w:line="192" w:lineRule="auto"/>
                                <w:rPr>
                                  <w:rFonts w:ascii="Arial" w:hAnsi="Arial" w:eastAsia="微软雅黑" w:cs="Arial"/>
                                  <w:color w:val="000000"/>
                                  <w:sz w:val="18"/>
                                  <w:szCs w:val="18"/>
                                </w:rPr>
                              </w:pPr>
                              <w:r>
                                <w:rPr>
                                  <w:rFonts w:hint="eastAsia" w:ascii="Arial" w:hAnsi="Arial" w:eastAsia="微软雅黑" w:cs="Arial"/>
                                  <w:b/>
                                  <w:bCs/>
                                  <w:color w:val="000000"/>
                                  <w:sz w:val="22"/>
                                  <w:szCs w:val="22"/>
                                </w:rPr>
                                <w:t>直播运营</w:t>
                              </w:r>
                            </w:p>
                          </w:txbxContent>
                        </wps:txbx>
                        <wps:bodyPr wrap="square" rtlCol="0">
                          <a:noAutofit/>
                        </wps:bodyPr>
                      </wps:wsp>
                      <wps:wsp>
                        <wps:cNvPr id="148" name="文本框 35" descr="KSO_WM_UNIT_INDEX=1_2_1&amp;KSO_WM_UNIT_TYPE=n_h_a&amp;KSO_WM_UNIT_ID=wpsdiag20164965_7*n_h_a*1_2_1&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6&amp;KSO_WM_SLIDE_ITEM_CNT=7&amp;KSO_WM_DIAGRAM_GROUP_CODE=n1_1&amp;KSO_WM_UNIT_TEXT_FILL_TYPE=1&amp;KSO_WM_UNIT_TEXT_FILL_FORE_SCHEMECOLOR_INDEX=13"/>
                        <wps:cNvSpPr txBox="1"/>
                        <wps:spPr>
                          <a:xfrm rot="10041556" flipV="1">
                            <a:off x="215711" y="47872"/>
                            <a:ext cx="255816" cy="93206"/>
                          </a:xfrm>
                          <a:prstGeom prst="rect">
                            <a:avLst/>
                          </a:prstGeom>
                          <a:noFill/>
                        </wps:spPr>
                        <wps:txbx>
                          <w:txbxContent>
                            <w:p w14:paraId="60A3E511">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kern w:val="24"/>
                                  <w:sz w:val="22"/>
                                  <w:szCs w:val="22"/>
                                </w:rPr>
                                <w:t>公共服务</w:t>
                              </w:r>
                            </w:p>
                          </w:txbxContent>
                        </wps:txbx>
                        <wps:bodyPr wrap="square" rtlCol="0">
                          <a:noAutofit/>
                        </wps:bodyPr>
                      </wps:wsp>
                      <wps:wsp>
                        <wps:cNvPr id="149" name="文本框 36" descr="KSO_WM_UNIT_INDEX=1_1_1&amp;KSO_WM_UNIT_TYPE=n_h_a&amp;KSO_WM_UNIT_ID=wpsdiag20164965_7*n_h_a*1_1_1&amp;KSO_WM_UNIT_LAYERLEVEL=1_1_1&amp;KSO_WM_UNIT_HIGHLIGHT=0&amp;KSO_WM_UNIT_CLEAR=0&amp;KSO_WM_UNIT_COMPATIBLE=0&amp;KSO_WM_UNIT_PRESET_TEXT=LOREM IPSUM&amp;KSO_WM_UNIT_VALUE=12&amp;KSO_WM_TAG_VERSION=1.0&amp;KSO_WM_BEAUTIFY_FLAG=#wm#&amp;KSO_WM_TEMPLATE_CATEGORY=wpsdiag&amp;KSO_WM_TEMPLATE_INDEX=20164965&amp;KSO_WM_UNIT_BIND_DECORATION_IDS=wpsdiag20164965_7*n_i*1_7&amp;KSO_WM_SLIDE_ITEM_CNT=7&amp;KSO_WM_DIAGRAM_GROUP_CODE=n1_1&amp;KSO_WM_UNIT_TEXT_FILL_TYPE=1&amp;KSO_WM_UNIT_TEXT_FILL_FORE_SCHEMECOLOR_INDEX=13"/>
                        <wps:cNvSpPr txBox="1"/>
                        <wps:spPr>
                          <a:xfrm>
                            <a:off x="235677" y="371009"/>
                            <a:ext cx="396605" cy="161931"/>
                          </a:xfrm>
                          <a:prstGeom prst="rect">
                            <a:avLst/>
                          </a:prstGeom>
                          <a:noFill/>
                        </wps:spPr>
                        <wps:txbx>
                          <w:txbxContent>
                            <w:p w14:paraId="53BA684D">
                              <w:pPr>
                                <w:widowControl/>
                                <w:snapToGrid w:val="0"/>
                                <w:spacing w:line="192" w:lineRule="auto"/>
                                <w:jc w:val="center"/>
                                <w:rPr>
                                  <w:rFonts w:ascii="微软雅黑" w:hAnsi="微软雅黑" w:eastAsia="微软雅黑" w:cs="Times New Roman"/>
                                  <w:b/>
                                  <w:bCs/>
                                  <w:color w:val="000000"/>
                                  <w:kern w:val="24"/>
                                  <w:sz w:val="36"/>
                                  <w:szCs w:val="36"/>
                                </w:rPr>
                              </w:pPr>
                              <w:r>
                                <w:rPr>
                                  <w:rFonts w:hint="eastAsia" w:ascii="微软雅黑" w:hAnsi="微软雅黑" w:eastAsia="微软雅黑" w:cs="Times New Roman"/>
                                  <w:b/>
                                  <w:bCs/>
                                  <w:color w:val="000000"/>
                                  <w:kern w:val="24"/>
                                  <w:sz w:val="36"/>
                                  <w:szCs w:val="36"/>
                                </w:rPr>
                                <w:t>电商中心</w:t>
                              </w:r>
                            </w:p>
                          </w:txbxContent>
                        </wps:txbx>
                        <wps:bodyPr wrap="square" rtlCol="0">
                          <a:noAutofit/>
                        </wps:bodyPr>
                      </wps:wsp>
                      <wps:wsp>
                        <wps:cNvPr id="150" name="Freeform 464" descr="KSO_WM_UNIT_INDEX=1_15&amp;KSO_WM_UNIT_TYPE=n_i&amp;KSO_WM_UNIT_ID=wpsdiag20164965_7*n_i*1_15&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wps:cNvSpPr/>
                        <wps:spPr bwMode="auto">
                          <a:xfrm rot="16832938">
                            <a:off x="544663" y="12712"/>
                            <a:ext cx="215408" cy="274991"/>
                          </a:xfrm>
                          <a:custGeom>
                            <a:avLst/>
                            <a:gdLst/>
                            <a:ahLst/>
                            <a:cxnLst>
                              <a:cxn ang="0">
                                <a:pos x="223" y="0"/>
                              </a:cxn>
                              <a:cxn ang="0">
                                <a:pos x="223" y="0"/>
                              </a:cxn>
                              <a:cxn ang="0">
                                <a:pos x="216" y="73"/>
                              </a:cxn>
                              <a:cxn ang="0">
                                <a:pos x="203" y="146"/>
                              </a:cxn>
                              <a:cxn ang="0">
                                <a:pos x="183" y="217"/>
                              </a:cxn>
                              <a:cxn ang="0">
                                <a:pos x="160" y="287"/>
                              </a:cxn>
                              <a:cxn ang="0">
                                <a:pos x="130" y="357"/>
                              </a:cxn>
                              <a:cxn ang="0">
                                <a:pos x="90" y="420"/>
                              </a:cxn>
                              <a:cxn ang="0">
                                <a:pos x="50" y="484"/>
                              </a:cxn>
                              <a:cxn ang="0">
                                <a:pos x="0" y="544"/>
                              </a:cxn>
                              <a:cxn ang="0">
                                <a:pos x="320" y="868"/>
                              </a:cxn>
                              <a:cxn ang="0">
                                <a:pos x="363" y="821"/>
                              </a:cxn>
                              <a:cxn ang="0">
                                <a:pos x="400" y="771"/>
                              </a:cxn>
                              <a:cxn ang="0">
                                <a:pos x="436" y="724"/>
                              </a:cxn>
                              <a:cxn ang="0">
                                <a:pos x="470" y="671"/>
                              </a:cxn>
                              <a:cxn ang="0">
                                <a:pos x="500" y="621"/>
                              </a:cxn>
                              <a:cxn ang="0">
                                <a:pos x="530" y="567"/>
                              </a:cxn>
                              <a:cxn ang="0">
                                <a:pos x="557" y="514"/>
                              </a:cxn>
                              <a:cxn ang="0">
                                <a:pos x="580" y="460"/>
                              </a:cxn>
                              <a:cxn ang="0">
                                <a:pos x="600" y="404"/>
                              </a:cxn>
                              <a:cxn ang="0">
                                <a:pos x="620" y="347"/>
                              </a:cxn>
                              <a:cxn ang="0">
                                <a:pos x="637" y="290"/>
                              </a:cxn>
                              <a:cxn ang="0">
                                <a:pos x="650" y="233"/>
                              </a:cxn>
                              <a:cxn ang="0">
                                <a:pos x="660" y="177"/>
                              </a:cxn>
                              <a:cxn ang="0">
                                <a:pos x="670" y="116"/>
                              </a:cxn>
                              <a:cxn ang="0">
                                <a:pos x="677" y="60"/>
                              </a:cxn>
                              <a:cxn ang="0">
                                <a:pos x="680" y="0"/>
                              </a:cxn>
                              <a:cxn ang="0">
                                <a:pos x="223" y="0"/>
                              </a:cxn>
                            </a:cxnLst>
                            <a:rect l="0" t="0" r="r" b="b"/>
                            <a:pathLst>
                              <a:path w="680" h="868">
                                <a:moveTo>
                                  <a:pt x="223" y="0"/>
                                </a:moveTo>
                                <a:lnTo>
                                  <a:pt x="223" y="0"/>
                                </a:lnTo>
                                <a:lnTo>
                                  <a:pt x="216" y="73"/>
                                </a:lnTo>
                                <a:lnTo>
                                  <a:pt x="203" y="146"/>
                                </a:lnTo>
                                <a:lnTo>
                                  <a:pt x="183" y="217"/>
                                </a:lnTo>
                                <a:lnTo>
                                  <a:pt x="160" y="287"/>
                                </a:lnTo>
                                <a:lnTo>
                                  <a:pt x="130" y="357"/>
                                </a:lnTo>
                                <a:lnTo>
                                  <a:pt x="90" y="420"/>
                                </a:lnTo>
                                <a:lnTo>
                                  <a:pt x="50" y="484"/>
                                </a:lnTo>
                                <a:lnTo>
                                  <a:pt x="0" y="544"/>
                                </a:lnTo>
                                <a:lnTo>
                                  <a:pt x="320" y="868"/>
                                </a:lnTo>
                                <a:lnTo>
                                  <a:pt x="363" y="821"/>
                                </a:lnTo>
                                <a:lnTo>
                                  <a:pt x="400" y="771"/>
                                </a:lnTo>
                                <a:lnTo>
                                  <a:pt x="436" y="724"/>
                                </a:lnTo>
                                <a:lnTo>
                                  <a:pt x="470" y="671"/>
                                </a:lnTo>
                                <a:lnTo>
                                  <a:pt x="500" y="621"/>
                                </a:lnTo>
                                <a:lnTo>
                                  <a:pt x="530" y="567"/>
                                </a:lnTo>
                                <a:lnTo>
                                  <a:pt x="557" y="514"/>
                                </a:lnTo>
                                <a:lnTo>
                                  <a:pt x="580" y="460"/>
                                </a:lnTo>
                                <a:lnTo>
                                  <a:pt x="600" y="404"/>
                                </a:lnTo>
                                <a:lnTo>
                                  <a:pt x="620" y="347"/>
                                </a:lnTo>
                                <a:lnTo>
                                  <a:pt x="637" y="290"/>
                                </a:lnTo>
                                <a:lnTo>
                                  <a:pt x="650" y="233"/>
                                </a:lnTo>
                                <a:lnTo>
                                  <a:pt x="660" y="177"/>
                                </a:lnTo>
                                <a:lnTo>
                                  <a:pt x="670" y="116"/>
                                </a:lnTo>
                                <a:lnTo>
                                  <a:pt x="677" y="60"/>
                                </a:lnTo>
                                <a:lnTo>
                                  <a:pt x="680" y="0"/>
                                </a:lnTo>
                                <a:lnTo>
                                  <a:pt x="223" y="0"/>
                                </a:lnTo>
                                <a:close/>
                              </a:path>
                            </a:pathLst>
                          </a:custGeom>
                          <a:solidFill>
                            <a:schemeClr val="accent3"/>
                          </a:solidFill>
                          <a:ln w="9525">
                            <a:noFill/>
                            <a:round/>
                          </a:ln>
                          <a:effectLst/>
                        </wps:spPr>
                        <wps:bodyPr wrap="none" anchor="ctr" anchorCtr="0"/>
                      </wps:wsp>
                      <wps:wsp>
                        <wps:cNvPr id="151" name="文本框 34" descr="KSO_WM_UNIT_INDEX=1_2_7&amp;KSO_WM_UNIT_TYPE=n_h_a&amp;KSO_WM_UNIT_ID=wpsdiag20164965_7*n_h_a*1_2_7&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15&amp;KSO_WM_SLIDE_ITEM_CNT=7&amp;KSO_WM_DIAGRAM_GROUP_CODE=n1_1&amp;KSO_WM_UNIT_TEXT_FILL_TYPE=1&amp;KSO_WM_UNIT_TEXT_FILL_FORE_SCHEMECOLOR_INDEX=13"/>
                        <wps:cNvSpPr txBox="1"/>
                        <wps:spPr>
                          <a:xfrm rot="12636465" flipH="1" flipV="1">
                            <a:off x="516133" y="99417"/>
                            <a:ext cx="267064" cy="85952"/>
                          </a:xfrm>
                          <a:prstGeom prst="rect">
                            <a:avLst/>
                          </a:prstGeom>
                          <a:noFill/>
                        </wps:spPr>
                        <wps:txbx>
                          <w:txbxContent>
                            <w:p w14:paraId="6CFB9D2D">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sz w:val="22"/>
                                  <w:szCs w:val="22"/>
                                </w:rPr>
                                <w:t>平台运营</w:t>
                              </w:r>
                            </w:p>
                          </w:txbxContent>
                        </wps:txbx>
                        <wps:bodyPr wrap="square" rtlCol="0">
                          <a:noAutofit/>
                        </wps:bodyPr>
                      </wps:wsp>
                    </wpg:wgp>
                  </a:graphicData>
                </a:graphic>
              </wp:inline>
            </w:drawing>
          </mc:Choice>
          <mc:Fallback>
            <w:pict>
              <v:group id="组合 1" o:spid="_x0000_s1026" o:spt="203" alt="KSO_WM_TAG_VERSION=1.0&amp;KSO_WM_BEAUTIFY_FLAG=#wm#&amp;KSO_WM_UNIT_TYPE=i&amp;KSO_WM_UNIT_ID=wpsdiag20164965_7*i*1&amp;KSO_WM_TEMPLATE_CATEGORY=wpsdiag&amp;KSO_WM_TEMPLATE_INDEX=20164965" style="height:219.25pt;width:215.05pt;" coordsize="894266,872215" o:gfxdata="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">
                <o:lock v:ext="edit" aspectratio="f"/>
                <v:shape id="Freeform 464" o:spid="_x0000_s1026" o:spt="100" alt="KSO_WM_UNIT_INDEX=1_1&amp;KSO_WM_UNIT_TYPE=n_i&amp;KSO_WM_UNIT_ID=wpsdiag20164965_7*n_i*1_1&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style="position:absolute;left:678847;top:293979;height:274977;width:215419;mso-wrap-style:none;rotation:-1512798f;v-text-anchor:middle;" fillcolor="#EE822F [3205]" filled="t" stroked="f" coordsize="680,868" o:gfxdata="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Ig974A&#10;AADbAAAADwAAAAAAAAABACAAAAAiAAAAZHJzL2Rvd25yZXYueG1sUEsBAhQAFAAAAAgAh07iQDMv&#10;BZ47AAAAOQAAABAAAAAAAAAAAQAgAAAADQEAAGRycy9zaGFwZXhtbC54bWxQSwUGAAAAAAYABgBb&#10;AQAAtwMAAAAA&#10;" path="m223,0l223,0,216,73,203,146,183,217,160,287,130,357,90,420,50,484,0,544,320,868,363,821,400,771,436,724,470,671,500,621,530,567,557,514,580,460,600,404,620,347,637,290,650,233,660,177,670,116,677,60,680,0,223,0xe">
                  <v:path o:connectlocs="223,0;223,0;216,73;203,146;183,217;160,287;130,357;90,420;50,484;0,544;320,868;363,821;400,771;436,724;470,671;500,621;530,567;557,514;580,460;600,404;620,347;637,290;650,233;660,177;670,116;677,60;680,0;223,0" o:connectangles="0,0,0,0,0,0,0,0,0,0,0,0,0,0,0,0,0,0,0,0,0,0,0,0,0,0,0,0"/>
                  <v:fill on="t" focussize="0,0"/>
                  <v:stroke on="f" joinstyle="round"/>
                  <v:imagedata o:title=""/>
                  <o:lock v:ext="edit" aspectratio="f"/>
                </v:shape>
                <v:shape id="Freeform 465" o:spid="_x0000_s1026" o:spt="100" alt="KSO_WM_UNIT_INDEX=1_2&amp;KSO_WM_UNIT_TYPE=n_i&amp;KSO_WM_UNIT_ID=wpsdiag20164965_7*n_i*1_2&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5&amp;KSO_WM_UNIT_FILL_BACK_SCHEMECOLOR_INDEX=0" style="position:absolute;left:542971;top:574487;height:214786;width:273709;mso-wrap-style:none;rotation:-1374041f;v-text-anchor:middle;" fillcolor="#91ACE0 [1940]" filled="t" stroked="f" coordsize="864,678" o:gfxdata="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ybG4ugAAANsA&#10;AAAPAAAAAAAAAAEAIAAAACIAAABkcnMvZG93bnJldi54bWxQSwECFAAUAAAACACHTuJAMy8FnjsA&#10;AAA5AAAAEAAAAAAAAAABACAAAAAJAQAAZHJzL3NoYXBleG1sLnhtbFBLBQYAAAAABgAGAFsBAACz&#10;AwAAAAA=&#10;" path="m543,0l543,0,483,47,420,90,353,127,287,157,217,184,146,204,73,217,0,224,0,678,56,675,116,668,173,661,233,648,290,635,347,618,400,601,457,581,510,554,567,531,617,501,670,471,720,438,770,401,817,361,864,321,543,0xe">
                  <v:path o:connectlocs="543,0;543,0;483,47;420,90;353,127;287,157;217,184;146,204;73,217;0,224;0,678;56,675;116,668;173,661;233,648;290,635;347,618;400,601;457,581;510,554;567,531;617,501;670,471;720,438;770,401;817,361;864,321;543,0" o:connectangles="0,0,0,0,0,0,0,0,0,0,0,0,0,0,0,0,0,0,0,0,0,0,0,0,0,0,0,0"/>
                  <v:fill on="t" focussize="0,0"/>
                  <v:stroke on="f" joinstyle="round"/>
                  <v:imagedata o:title=""/>
                  <o:lock v:ext="edit" aspectratio="f"/>
                </v:shape>
                <v:shape id="Freeform 466" o:spid="_x0000_s1026" o:spt="100" alt="KSO_WM_UNIT_INDEX=1_3&amp;KSO_WM_UNIT_TYPE=n_i&amp;KSO_WM_UNIT_ID=wpsdiag20164965_7*n_i*1_3&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style="position:absolute;left:196285;top:657429;height:214786;width:273709;mso-wrap-style:none;rotation:-583310f;v-text-anchor:middle;" fillcolor="#30C0B4 [3208]" filled="t" stroked="f" coordsize="864,678" o:gfxdata="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Jpp68AAAA&#10;2wAAAA8AAAAAAAAAAQAgAAAAIgAAAGRycy9kb3ducmV2LnhtbFBLAQIUABQAAAAIAIdO4kAzLwWe&#10;OwAAADkAAAAQAAAAAAAAAAEAIAAAAAsBAABkcnMvc2hhcGV4bWwueG1sUEsFBgAAAAAGAAYAWwEA&#10;ALUDAAAAAA==&#10;" path="m0,321l0,321,47,361,94,401,144,438,194,471,244,501,297,531,351,554,407,581,461,601,517,618,574,635,631,648,691,661,748,668,804,675,864,678,864,224,791,217,718,204,647,184,577,157,511,127,444,90,381,47,321,0,0,321xe">
                  <v:path o:connectlocs="0,321;0,321;47,361;94,401;144,438;194,471;244,501;297,531;351,554;407,581;461,601;517,618;574,635;631,648;691,661;748,668;804,675;864,678;864,224;791,217;718,204;647,184;577,157;511,127;444,90;381,47;321,0;0,321" o:connectangles="0,0,0,0,0,0,0,0,0,0,0,0,0,0,0,0,0,0,0,0,0,0,0,0,0,0,0,0"/>
                  <v:fill on="t" focussize="0,0"/>
                  <v:stroke on="f" joinstyle="round"/>
                  <v:imagedata o:title=""/>
                  <o:lock v:ext="edit" aspectratio="f"/>
                </v:shape>
                <v:shape id="Freeform 467" o:spid="_x0000_s1026" o:spt="100" alt="KSO_WM_UNIT_INDEX=1_4&amp;KSO_WM_UNIT_TYPE=n_i&amp;KSO_WM_UNIT_ID=wpsdiag20164965_7*n_i*1_4&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5&amp;KSO_WM_UNIT_FILL_BACK_SCHEMECOLOR_INDEX=0" style="position:absolute;left:0;top:456957;height:274977;width:215736;mso-wrap-style:none;v-text-anchor:middle;" fillcolor="#75BD42 [3207]" filled="t" stroked="f" coordsize="681,868" o:gfxdata="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DIK8AAAA&#10;2wAAAA8AAAAAAAAAAQAgAAAAIgAAAGRycy9kb3ducmV2LnhtbFBLAQIUABQAAAAIAIdO4kAzLwWe&#10;OwAAADkAAAAQAAAAAAAAAAEAIAAAAAsBAABkcnMvc2hhcGV4bWwueG1sUEsFBgAAAAAGAAYAWwEA&#10;ALUDAAAAAA==&#10;" path="m454,0l0,0,3,60,10,116,20,177,30,233,43,290,60,347,80,404,100,460,123,514,150,567,177,621,210,671,244,724,280,771,317,821,360,868,681,544,630,484,587,420,550,357,520,287,494,217,477,146,464,73,454,0xe">
                  <v:path o:connectlocs="454,0;0,0;3,60;10,116;20,177;30,233;43,290;60,347;80,404;100,460;123,514;150,567;177,621;210,671;244,724;280,771;317,821;360,868;681,544;630,484;587,420;550,357;520,287;494,217;477,146;464,73;454,0" o:connectangles="0,0,0,0,0,0,0,0,0,0,0,0,0,0,0,0,0,0,0,0,0,0,0,0,0,0,0"/>
                  <v:fill on="t" focussize="0,0"/>
                  <v:stroke on="f" joinstyle="round"/>
                  <v:imagedata o:title=""/>
                  <o:lock v:ext="edit" aspectratio="f"/>
                </v:shape>
                <v:shape id="Freeform 468" o:spid="_x0000_s1026" o:spt="100" alt="KSO_WM_UNIT_INDEX=1_5&amp;KSO_WM_UNIT_TYPE=n_i&amp;KSO_WM_UNIT_ID=wpsdiag20164965_7*n_i*1_5&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style="position:absolute;left:3733;top:122855;height:274026;width:199796;mso-wrap-style:none;v-text-anchor:middle;" fillcolor="#C81D31 [2409]" filled="t" stroked="f" coordsize="681,865" o:gfxdata="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1eyW5AAAA2wAA&#10;AA8AAAAAAAAAAQAgAAAAIgAAAGRycy9kb3ducmV2LnhtbFBLAQIUABQAAAAIAIdO4kAzLwWeOwAA&#10;ADkAAAAQAAAAAAAAAAEAIAAAAAgBAABkcnMvc2hhcGV4bWwueG1sUEsFBgAAAAAGAAYAWwEAALID&#10;AAAAAA==&#10;" path="m454,865l454,865,464,795,477,722,494,651,520,581,550,511,587,444,630,384,681,321,360,0,317,47,280,97,244,144,210,197,177,247,150,301,123,354,100,408,80,464,60,521,43,578,30,635,20,691,10,752,3,808,0,865,454,865xe">
                  <v:path o:connectlocs="454,865;454,865;464,795;477,722;494,651;520,581;550,511;587,444;630,384;681,321;360,0;317,47;280,97;244,144;210,197;177,247;150,301;123,354;100,408;80,464;60,521;43,578;30,635;20,691;10,752;3,808;0,865;454,865" o:connectangles="0,0,0,0,0,0,0,0,0,0,0,0,0,0,0,0,0,0,0,0,0,0,0,0,0,0,0,0"/>
                  <v:fill on="t" focussize="0,0"/>
                  <v:stroke on="f" joinstyle="round"/>
                  <v:imagedata o:title=""/>
                  <o:lock v:ext="edit" aspectratio="f"/>
                </v:shape>
                <v:shape id="Freeform 469" o:spid="_x0000_s1026" o:spt="100" alt="KSO_WM_UNIT_INDEX=1_6&amp;KSO_WM_UNIT_TYPE=n_i&amp;KSO_WM_UNIT_ID=wpsdiag20164965_7*n_i*1_6&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5&amp;KSO_WM_UNIT_FILL_BACK_SCHEMECOLOR_INDEX=0" style="position:absolute;left:173166;top:0;height:193625;width:273709;mso-wrap-style:none;rotation:355845f;v-text-anchor:middle;" fillcolor="#E54C5E [3209]" filled="t" stroked="f" coordsize="864,678" o:gfxdata="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onL6/&#10;AAAA2wAAAA8AAAAAAAAAAQAgAAAAIgAAAGRycy9kb3ducmV2LnhtbFBLAQIUABQAAAAIAIdO4kAz&#10;LwWeOwAAADkAAAAQAAAAAAAAAAEAIAAAAA4BAABkcnMvc2hhcGV4bWwueG1sUEsFBgAAAAAGAAYA&#10;WwEAALgDAAAAAA==&#10;" path="m321,678l321,678,381,631,444,588,511,551,577,521,647,494,718,474,791,461,864,454,864,0,804,3,748,10,691,17,631,30,574,43,517,60,461,77,407,97,351,124,297,147,244,177,194,207,144,240,94,277,47,317,0,357,321,678xe">
                  <v:path o:connectlocs="321,678;321,678;381,631;444,588;511,551;577,521;647,494;718,474;791,461;864,454;864,0;804,3;748,10;691,17;631,30;574,43;517,60;461,77;407,97;351,124;297,147;244,177;194,207;144,240;94,277;47,317;0,357;321,678" o:connectangles="0,0,0,0,0,0,0,0,0,0,0,0,0,0,0,0,0,0,0,0,0,0,0,0,0,0,0,0"/>
                  <v:fill on="t" focussize="0,0"/>
                  <v:stroke on="f" joinstyle="round"/>
                  <v:imagedata o:title=""/>
                  <o:lock v:ext="edit" aspectratio="f"/>
                </v:shape>
                <v:shape id="Oval 461" o:spid="_x0000_s1026" o:spt="3" alt="KSO_WM_UNIT_INDEX=1_7&amp;KSO_WM_UNIT_TYPE=n_i&amp;KSO_WM_UNIT_ID=wpsdiag20164965_7*n_i*1_7&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type="#_x0000_t3" style="position:absolute;left:217640;top:212340;height:430618;width:423946;mso-wrap-style:none;v-text-anchor:middle;" fillcolor="#C3D5DF" filled="t" stroked="f" coordsize="21600,21600" o:gfxdata="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czSyLgAAADbAAAA&#10;DwAAAAAAAAABACAAAAAiAAAAZHJzL2Rvd25yZXYueG1sUEsBAhQAFAAAAAgAh07iQDMvBZ47AAAA&#10;OQAAABAAAAAAAAAAAQAgAAAABwEAAGRycy9zaGFwZXhtbC54bWxQSwUGAAAAAAYABgBbAQAAsQMA&#10;AAAA&#10;">
                  <v:fill on="t" focussize="0,0"/>
                  <v:stroke on="f"/>
                  <v:imagedata o:title=""/>
                  <o:lock v:ext="edit" aspectratio="f"/>
                </v:shape>
                <v:shape id="箭头: 下 91" o:spid="_x0000_s1026" o:spt="67" alt="KSO_WM_UNIT_INDEX=1_8&amp;KSO_WM_UNIT_TYPE=n_i&amp;KSO_WM_UNIT_ID=wpsdiag20164965_7*n_i*1_8&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type="#_x0000_t67" style="position:absolute;left:577696;top:590638;height:54229;width:33177;rotation:-2813891f;v-text-anchor:middle;" fillcolor="#B5BDBE" filled="t" stroked="f" coordsize="21600,21600" o:gfxdata="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gTdb4A&#10;AADbAAAADwAAAAAAAAABACAAAAAiAAAAZHJzL2Rvd25yZXYueG1sUEsBAhQAFAAAAAgAh07iQDMv&#10;BZ47AAAAOQAAABAAAAAAAAAAAQAgAAAADQEAAGRycy9zaGFwZXhtbC54bWxQSwUGAAAAAAYABgBb&#10;AQAAtwMAAAAA&#10;" adj="14993,5400">
                  <v:fill type="gradient" on="t" color2="#FED961 [1942]" colors="0f #B5BDBE;32768f #FED961;65536f #FED961" focus="100%" focussize="0,0" rotate="t">
                    <o:fill type="gradientUnscaled" v:ext="backwardCompatible"/>
                  </v:fill>
                  <v:stroke on="f" weight="0.5pt" miterlimit="8" joinstyle="miter"/>
                  <v:imagedata o:title=""/>
                  <o:lock v:ext="edit" aspectratio="f"/>
                </v:shape>
                <v:shape id="箭头: 下 92" o:spid="_x0000_s1026" o:spt="67" alt="KSO_WM_UNIT_INDEX=1_9&amp;KSO_WM_UNIT_TYPE=n_i&amp;KSO_WM_UNIT_ID=wpsdiag20164965_7*n_i*1_9&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type="#_x0000_t67" style="position:absolute;left:377614;top:648297;height:54229;width:33177;rotation:990538f;v-text-anchor:middle;" fillcolor="#B5BDBE" filled="t" stroked="f" coordsize="21600,21600" o:gfxdata="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DbJr4A&#10;AADbAAAADwAAAAAAAAABACAAAAAiAAAAZHJzL2Rvd25yZXYueG1sUEsBAhQAFAAAAAgAh07iQDMv&#10;BZ47AAAAOQAAABAAAAAAAAAAAQAgAAAADQEAAGRycy9zaGFwZXhtbC54bWxQSwUGAAAAAAYABgBb&#10;AQAAtwMAAAAA&#10;" adj="14993,5400">
                  <v:fill type="gradient" on="t" color2="#FED961 [1942]" colors="0f #B5BDBE;32768f #FED961;65536f #FED961" focus="100%" focussize="0,0" rotate="t">
                    <o:fill type="gradientUnscaled" v:ext="backwardCompatible"/>
                  </v:fill>
                  <v:stroke on="f" weight="0.5pt" miterlimit="8" joinstyle="miter"/>
                  <v:imagedata o:title=""/>
                  <o:lock v:ext="edit" aspectratio="f"/>
                </v:shape>
                <v:shape id="箭头: 下 93" o:spid="_x0000_s1026" o:spt="67" alt="KSO_WM_UNIT_INDEX=1_10&amp;KSO_WM_UNIT_TYPE=n_i&amp;KSO_WM_UNIT_ID=wpsdiag20164965_7*n_i*1_10&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type="#_x0000_t67" style="position:absolute;left:189187;top:516495;height:54229;width:33177;rotation:4358994f;v-text-anchor:middle;" fillcolor="#B5BDBE" filled="t" stroked="f" coordsize="21600,21600" o:gfxdata="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30LsAAADb&#10;AAAADwAAAAAAAAABACAAAAAiAAAAZHJzL2Rvd25yZXYueG1sUEsBAhQAFAAAAAgAh07iQDMvBZ47&#10;AAAAOQAAABAAAAAAAAAAAQAgAAAACgEAAGRycy9zaGFwZXhtbC54bWxQSwUGAAAAAAYABgBbAQAA&#10;tAMAAAAA&#10;" adj="14993,5400">
                  <v:fill type="gradient" on="t" color2="#FED961 [1942]" colors="0f #B5BDBE;32768f #FED961;65536f #FED961" focus="100%" focussize="0,0" rotate="t">
                    <o:fill type="gradientUnscaled" v:ext="backwardCompatible"/>
                  </v:fill>
                  <v:stroke on="f" weight="0.5pt" miterlimit="8" joinstyle="miter"/>
                  <v:imagedata o:title=""/>
                  <o:lock v:ext="edit" aspectratio="f"/>
                </v:shape>
                <v:shape id="箭头: 下 94" o:spid="_x0000_s1026" o:spt="67" alt="KSO_WM_UNIT_INDEX=1_11&amp;KSO_WM_UNIT_TYPE=n_i&amp;KSO_WM_UNIT_ID=wpsdiag20164965_7*n_i*1_11&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type="#_x0000_t67" style="position:absolute;left:178568;top:306501;height:54934;width:34935;rotation:7244079f;v-text-anchor:middle;" fillcolor="#B5BDBE" filled="t" stroked="f" coordsize="21600,21600" o:gfxdata="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XLRvQAA&#10;ANsAAAAPAAAAAAAAAAEAIAAAACIAAABkcnMvZG93bnJldi54bWxQSwECFAAUAAAACACHTuJAMy8F&#10;njsAAAA5AAAAEAAAAAAAAAABACAAAAAMAQAAZHJzL3NoYXBleG1sLnhtbFBLBQYAAAAABgAGAFsB&#10;AAC2AwAAAAA=&#10;" adj="14732,5400">
                  <v:fill type="gradient" on="t" color2="#FED961 [1942]" colors="0f #B5BDBE;32768f #FED961;65536f #FED961" focus="100%" focussize="0,0" rotate="t">
                    <o:fill type="gradientUnscaled" v:ext="backwardCompatible"/>
                  </v:fill>
                  <v:stroke on="f" weight="0.5pt" miterlimit="8" joinstyle="miter"/>
                  <v:imagedata o:title=""/>
                  <o:lock v:ext="edit" aspectratio="f"/>
                </v:shape>
                <v:shape id="箭头: 下 95" o:spid="_x0000_s1026" o:spt="67" alt="KSO_WM_UNIT_INDEX=1_12&amp;KSO_WM_UNIT_TYPE=n_i&amp;KSO_WM_UNIT_ID=wpsdiag20164965_7*n_i*1_12&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type="#_x0000_t67" style="position:absolute;left:347757;top:166257;height:46817;width:33897;rotation:10522827f;v-text-anchor:middle;" fillcolor="#B5BDBE" filled="t" stroked="f" coordsize="21600,21600" o:gfxdata="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JJL74A&#10;AADbAAAADwAAAAAAAAABACAAAAAiAAAAZHJzL2Rvd25yZXYueG1sUEsBAhQAFAAAAAgAh07iQDMv&#10;BZ47AAAAOQAAABAAAAAAAAAAAQAgAAAADQEAAGRycy9zaGFwZXhtbC54bWxQSwUGAAAAAAYABgBb&#10;AQAAtwMAAAAA&#10;" adj="13781,5400">
                  <v:fill type="gradient" on="t" color2="#FED961 [1942]" colors="0f #B5BDBE;32768f #FED961;65536f #FED961" focus="100%" focussize="0,0" rotate="t">
                    <o:fill type="gradientUnscaled" v:ext="backwardCompatible"/>
                  </v:fill>
                  <v:stroke on="f" weight="0.5pt" miterlimit="8" joinstyle="miter"/>
                  <v:imagedata o:title=""/>
                  <o:lock v:ext="edit" aspectratio="f"/>
                </v:shape>
                <v:shape id="箭头: 下 96" o:spid="_x0000_s1026" o:spt="67" alt="KSO_WM_UNIT_INDEX=1_13&amp;KSO_WM_UNIT_TYPE=n_i&amp;KSO_WM_UNIT_ID=wpsdiag20164965_7*n_i*1_13&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type="#_x0000_t67" style="position:absolute;left:569793;top:207755;flip:x;height:54229;width:33177;rotation:9164653f;v-text-anchor:middle;" fillcolor="#B5BDBE" filled="t" stroked="f" coordsize="21600,21600" o:gfxdata="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i8+vQAA&#10;ANsAAAAPAAAAAAAAAAEAIAAAACIAAABkcnMvZG93bnJldi54bWxQSwECFAAUAAAACACHTuJAMy8F&#10;njsAAAA5AAAAEAAAAAAAAAABACAAAAAMAQAAZHJzL3NoYXBleG1sLnhtbFBLBQYAAAAABgAGAFsB&#10;AAC2AwAAAAA=&#10;" adj="14993,5400">
                  <v:fill type="gradient" on="t" color2="#FED961 [1942]" colors="0f #B5BDBE;32768f #FED961;65536f #FED961" focus="100%" focussize="0,0" rotate="t">
                    <o:fill type="gradientUnscaled" v:ext="backwardCompatible"/>
                  </v:fill>
                  <v:stroke on="f" weight="0.5pt" miterlimit="8" joinstyle="miter"/>
                  <v:imagedata o:title=""/>
                  <o:lock v:ext="edit" aspectratio="f"/>
                </v:shape>
                <v:shape id="箭头: 下 97" o:spid="_x0000_s1026" o:spt="67" alt="KSO_WM_UNIT_INDEX=1_14&amp;KSO_WM_UNIT_TYPE=n_i&amp;KSO_WM_UNIT_ID=wpsdiag20164965_7*n_i*1_14&amp;KSO_WM_UNIT_LAYERLEVEL=1_1&amp;KSO_WM_UNIT_CLEAR=1&amp;KSO_WM_TAG_VERSION=1.0&amp;KSO_WM_BEAUTIFY_FLAG=#wm#&amp;KSO_WM_TEMPLATE_CATEGORY=wpsdiag&amp;KSO_WM_TEMPLATE_INDEX=20164965&amp;KSO_WM_SLIDE_ITEM_CNT=7&amp;KSO_WM_DIAGRAM_GROUP_CODE=n1_1&amp;KSO_WM_UNIT_FILL_TYPE=3&amp;KSO_WM_UNIT_FILL_FORE_SCHEMECOLOR_INDEX=7&amp;KSO_WM_UNIT_FILL_BACK_SCHEMECOLOR_INDEX=7" type="#_x0000_t67" style="position:absolute;left:662281;top:383575;flip:x;height:54229;width:33177;rotation:5871792f;v-text-anchor:middle;" fillcolor="#B5BDBE" filled="t" stroked="f" coordsize="21600,21600" o:gfxdata="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Ig96/&#10;AAAA2wAAAA8AAAAAAAAAAQAgAAAAIgAAAGRycy9kb3ducmV2LnhtbFBLAQIUABQAAAAIAIdO4kAz&#10;LwWeOwAAADkAAAAQAAAAAAAAAAEAIAAAAA4BAABkcnMvc2hhcGV4bWwueG1sUEsFBgAAAAAGAAYA&#10;WwEAALgDAAAAAA==&#10;" adj="14993,5400">
                  <v:fill type="gradient" on="t" color2="#FED961 [1942]" colors="0f #B5BDBE;32768f #FED961;65536f #FED961" focus="100%" focussize="0,0" rotate="t">
                    <o:fill type="gradientUnscaled" v:ext="backwardCompatible"/>
                  </v:fill>
                  <v:stroke on="f" weight="0.5pt" miterlimit="8" joinstyle="miter"/>
                  <v:imagedata o:title=""/>
                  <o:lock v:ext="edit" aspectratio="f"/>
                </v:shape>
                <v:shape id="文本框 28" o:spid="_x0000_s1026" o:spt="202" alt="KSO_WM_UNIT_INDEX=1_2_5&amp;KSO_WM_UNIT_TYPE=n_h_a&amp;KSO_WM_UNIT_ID=wpsdiag20164965_7*n_h_a*1_2_5&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2&amp;KSO_WM_SLIDE_ITEM_CNT=7&amp;KSO_WM_DIAGRAM_GROUP_CODE=n1_1&amp;KSO_WM_UNIT_TEXT_FILL_TYPE=1&amp;KSO_WM_UNIT_TEXT_FILL_FORE_SCHEMECOLOR_INDEX=13" type="#_x0000_t202" style="position:absolute;left:529896;top:630544;flip:x;height:136882;width:325444;rotation:2715361f;" filled="f" stroked="f" coordsize="21600,21600" o:gfxdata="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Iy9H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B8B994B">
                        <w:pPr>
                          <w:pStyle w:val="12"/>
                          <w:snapToGrid w:val="0"/>
                          <w:spacing w:beforeAutospacing="0" w:afterAutospacing="0" w:line="192" w:lineRule="auto"/>
                          <w:rPr>
                            <w:rFonts w:ascii="Arial" w:hAnsi="Arial" w:eastAsia="微软雅黑" w:cs="Arial"/>
                            <w:color w:val="000000"/>
                            <w:sz w:val="18"/>
                            <w:szCs w:val="18"/>
                          </w:rPr>
                        </w:pPr>
                        <w:r>
                          <w:rPr>
                            <w:rFonts w:hint="eastAsia" w:ascii="Arial" w:hAnsi="Arial" w:eastAsia="微软雅黑" w:cs="Arial"/>
                            <w:b/>
                            <w:bCs/>
                            <w:color w:val="000000"/>
                            <w:sz w:val="22"/>
                            <w:szCs w:val="22"/>
                          </w:rPr>
                          <w:t>供应链整合</w:t>
                        </w:r>
                      </w:p>
                    </w:txbxContent>
                  </v:textbox>
                </v:shape>
                <v:shape id="文本框 30" o:spid="_x0000_s1026" o:spt="202" alt="KSO_WM_UNIT_INDEX=1_2_3&amp;KSO_WM_UNIT_TYPE=n_h_a&amp;KSO_WM_UNIT_ID=wpsdiag20164965_7*n_h_a*1_2_3&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4&amp;KSO_WM_SLIDE_ITEM_CNT=7&amp;KSO_WM_DIAGRAM_GROUP_CODE=n1_1&amp;KSO_WM_UNIT_TEXT_FILL_TYPE=1&amp;KSO_WM_UNIT_TEXT_FILL_FORE_SCHEMECOLOR_INDEX=13" type="#_x0000_t202" style="position:absolute;left:-9004;top:558666;height:85635;width:255499;rotation:4170156f;" filled="f" stroked="f" coordsize="21600,21600" o:gfxdata="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ge4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CC41475">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sz w:val="22"/>
                            <w:szCs w:val="22"/>
                          </w:rPr>
                          <w:t>人才培育</w:t>
                        </w:r>
                      </w:p>
                    </w:txbxContent>
                  </v:textbox>
                </v:shape>
                <v:shape id="文本框 31" o:spid="_x0000_s1026" o:spt="202" alt="KSO_WM_UNIT_INDEX=1_2_2&amp;KSO_WM_UNIT_TYPE=n_h_a&amp;KSO_WM_UNIT_ID=wpsdiag20164965_7*n_h_a*1_2_2&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5&amp;KSO_WM_SLIDE_ITEM_CNT=7&amp;KSO_WM_DIAGRAM_GROUP_CODE=n1_1&amp;KSO_WM_UNIT_TEXT_FILL_TYPE=1&amp;KSO_WM_UNIT_TEXT_FILL_FORE_SCHEMECOLOR_INDEX=13" type="#_x0000_t202" style="position:absolute;left:-23881;top:218123;flip:y;height:81825;width:256587;rotation:-7371834f;" filled="f" stroked="f" coordsize="21600,21600" o:gfxdata="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YO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C86FC7C">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sz w:val="22"/>
                            <w:szCs w:val="22"/>
                          </w:rPr>
                          <w:t>智慧云仓</w:t>
                        </w:r>
                      </w:p>
                    </w:txbxContent>
                  </v:textbox>
                </v:shape>
                <v:shape id="文本框 33" o:spid="_x0000_s1026" o:spt="202" alt="KSO_WM_UNIT_INDEX=1_2_4&amp;KSO_WM_UNIT_TYPE=n_h_a&amp;KSO_WM_UNIT_ID=wpsdiag20164965_7*n_h_a*1_2_4&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3&amp;KSO_WM_SLIDE_ITEM_CNT=7&amp;KSO_WM_DIAGRAM_GROUP_CODE=n1_1&amp;KSO_WM_UNIT_TEXT_FILL_TYPE=1&amp;KSO_WM_UNIT_TEXT_FILL_FORE_SCHEMECOLOR_INDEX=13" type="#_x0000_t202" style="position:absolute;left:237852;top:728124;flip:x;height:86133;width:267064;rotation:-925805f;" filled="f" stroked="f" coordsize="21600,21600" o:gfxdata="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G5F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677E724">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sz w:val="22"/>
                            <w:szCs w:val="22"/>
                          </w:rPr>
                          <w:t>项目孵化</w:t>
                        </w:r>
                      </w:p>
                    </w:txbxContent>
                  </v:textbox>
                </v:shape>
                <v:shape id="文本框 34" o:spid="_x0000_s1026" o:spt="202" alt="KSO_WM_UNIT_INDEX=1_2_6&amp;KSO_WM_UNIT_TYPE=n_h_a&amp;KSO_WM_UNIT_ID=wpsdiag20164965_7*n_h_a*1_2_6&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1&amp;KSO_WM_SLIDE_ITEM_CNT=7&amp;KSO_WM_DIAGRAM_GROUP_CODE=n1_1&amp;KSO_WM_UNIT_TEXT_FILL_TYPE=1&amp;KSO_WM_UNIT_TEXT_FILL_FORE_SCHEMECOLOR_INDEX=13" type="#_x0000_t202" style="position:absolute;left:656120;top:403990;flip:x y;height:80918;width:266923;rotation:-6239234f;" filled="f" stroked="f" coordsize="21600,21600" o:gfxdata="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U+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1A708AE">
                        <w:pPr>
                          <w:pStyle w:val="12"/>
                          <w:snapToGrid w:val="0"/>
                          <w:spacing w:beforeAutospacing="0" w:afterAutospacing="0" w:line="192" w:lineRule="auto"/>
                          <w:rPr>
                            <w:rFonts w:ascii="Arial" w:hAnsi="Arial" w:eastAsia="微软雅黑" w:cs="Arial"/>
                            <w:color w:val="000000"/>
                            <w:sz w:val="18"/>
                            <w:szCs w:val="18"/>
                          </w:rPr>
                        </w:pPr>
                        <w:r>
                          <w:rPr>
                            <w:rFonts w:hint="eastAsia" w:ascii="Arial" w:hAnsi="Arial" w:eastAsia="微软雅黑" w:cs="Arial"/>
                            <w:b/>
                            <w:bCs/>
                            <w:color w:val="000000"/>
                            <w:sz w:val="22"/>
                            <w:szCs w:val="22"/>
                          </w:rPr>
                          <w:t>直播运营</w:t>
                        </w:r>
                      </w:p>
                    </w:txbxContent>
                  </v:textbox>
                </v:shape>
                <v:shape id="文本框 35" o:spid="_x0000_s1026" o:spt="202" alt="KSO_WM_UNIT_INDEX=1_2_1&amp;KSO_WM_UNIT_TYPE=n_h_a&amp;KSO_WM_UNIT_ID=wpsdiag20164965_7*n_h_a*1_2_1&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6&amp;KSO_WM_SLIDE_ITEM_CNT=7&amp;KSO_WM_DIAGRAM_GROUP_CODE=n1_1&amp;KSO_WM_UNIT_TEXT_FILL_TYPE=1&amp;KSO_WM_UNIT_TEXT_FILL_FORE_SCHEMECOLOR_INDEX=13" type="#_x0000_t202" style="position:absolute;left:215711;top:47872;flip:y;height:93206;width:255816;rotation:-10968057f;" filled="f" stroked="f" coordsize="21600,21600" o:gfxdata="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pN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0A3E511">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kern w:val="24"/>
                            <w:sz w:val="22"/>
                            <w:szCs w:val="22"/>
                          </w:rPr>
                          <w:t>公共服务</w:t>
                        </w:r>
                      </w:p>
                    </w:txbxContent>
                  </v:textbox>
                </v:shape>
                <v:shape id="文本框 36" o:spid="_x0000_s1026" o:spt="202" alt="KSO_WM_UNIT_INDEX=1_1_1&amp;KSO_WM_UNIT_TYPE=n_h_a&amp;KSO_WM_UNIT_ID=wpsdiag20164965_7*n_h_a*1_1_1&amp;KSO_WM_UNIT_LAYERLEVEL=1_1_1&amp;KSO_WM_UNIT_HIGHLIGHT=0&amp;KSO_WM_UNIT_CLEAR=0&amp;KSO_WM_UNIT_COMPATIBLE=0&amp;KSO_WM_UNIT_PRESET_TEXT=LOREM IPSUM&amp;KSO_WM_UNIT_VALUE=12&amp;KSO_WM_TAG_VERSION=1.0&amp;KSO_WM_BEAUTIFY_FLAG=#wm#&amp;KSO_WM_TEMPLATE_CATEGORY=wpsdiag&amp;KSO_WM_TEMPLATE_INDEX=20164965&amp;KSO_WM_UNIT_BIND_DECORATION_IDS=wpsdiag20164965_7*n_i*1_7&amp;KSO_WM_SLIDE_ITEM_CNT=7&amp;KSO_WM_DIAGRAM_GROUP_CODE=n1_1&amp;KSO_WM_UNIT_TEXT_FILL_TYPE=1&amp;KSO_WM_UNIT_TEXT_FILL_FORE_SCHEMECOLOR_INDEX=13" type="#_x0000_t202" style="position:absolute;left:235677;top:371009;height:161931;width:396605;" filled="f" stroked="f" coordsize="21600,21600" o:gfxdata="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eCD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3BA684D">
                        <w:pPr>
                          <w:widowControl/>
                          <w:snapToGrid w:val="0"/>
                          <w:spacing w:line="192" w:lineRule="auto"/>
                          <w:jc w:val="center"/>
                          <w:rPr>
                            <w:rFonts w:ascii="微软雅黑" w:hAnsi="微软雅黑" w:eastAsia="微软雅黑" w:cs="Times New Roman"/>
                            <w:b/>
                            <w:bCs/>
                            <w:color w:val="000000"/>
                            <w:kern w:val="24"/>
                            <w:sz w:val="36"/>
                            <w:szCs w:val="36"/>
                          </w:rPr>
                        </w:pPr>
                        <w:r>
                          <w:rPr>
                            <w:rFonts w:hint="eastAsia" w:ascii="微软雅黑" w:hAnsi="微软雅黑" w:eastAsia="微软雅黑" w:cs="Times New Roman"/>
                            <w:b/>
                            <w:bCs/>
                            <w:color w:val="000000"/>
                            <w:kern w:val="24"/>
                            <w:sz w:val="36"/>
                            <w:szCs w:val="36"/>
                          </w:rPr>
                          <w:t>电商中心</w:t>
                        </w:r>
                      </w:p>
                    </w:txbxContent>
                  </v:textbox>
                </v:shape>
                <v:shape id="Freeform 464" o:spid="_x0000_s1026" o:spt="100" alt="KSO_WM_UNIT_INDEX=1_15&amp;KSO_WM_UNIT_TYPE=n_i&amp;KSO_WM_UNIT_ID=wpsdiag20164965_7*n_i*1_15&amp;KSO_WM_UNIT_LAYERLEVEL=1_1&amp;KSO_WM_UNIT_CLEAR=1&amp;KSO_WM_TAG_VERSION=1.0&amp;KSO_WM_BEAUTIFY_FLAG=#wm#&amp;KSO_WM_TEMPLATE_CATEGORY=wpsdiag&amp;KSO_WM_TEMPLATE_INDEX=20164965&amp;KSO_WM_SLIDE_ITEM_CNT=7&amp;KSO_WM_DIAGRAM_GROUP_CODE=n1_1&amp;KSO_WM_UNIT_FILL_TYPE=1&amp;KSO_WM_UNIT_FILL_FORE_SCHEMECOLOR_INDEX=6&amp;KSO_WM_UNIT_FILL_BACK_SCHEMECOLOR_INDEX=0" style="position:absolute;left:544663;top:12712;height:274991;width:215408;mso-wrap-style:none;rotation:-5206903f;v-text-anchor:middle;" fillcolor="#F2BA02 [3206]" filled="t" stroked="f" coordsize="680,868" o:gfxdata="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CkFO/&#10;AAAA3AAAAA8AAAAAAAAAAQAgAAAAIgAAAGRycy9kb3ducmV2LnhtbFBLAQIUABQAAAAIAIdO4kAz&#10;LwWeOwAAADkAAAAQAAAAAAAAAAEAIAAAAA4BAABkcnMvc2hhcGV4bWwueG1sUEsFBgAAAAAGAAYA&#10;WwEAALgDAAAAAA==&#10;" path="m223,0l223,0,216,73,203,146,183,217,160,287,130,357,90,420,50,484,0,544,320,868,363,821,400,771,436,724,470,671,500,621,530,567,557,514,580,460,600,404,620,347,637,290,650,233,660,177,670,116,677,60,680,0,223,0xe">
                  <v:path o:connectlocs="223,0;223,0;216,73;203,146;183,217;160,287;130,357;90,420;50,484;0,544;320,868;363,821;400,771;436,724;470,671;500,621;530,567;557,514;580,460;600,404;620,347;637,290;650,233;660,177;670,116;677,60;680,0;223,0" o:connectangles="0,0,0,0,0,0,0,0,0,0,0,0,0,0,0,0,0,0,0,0,0,0,0,0,0,0,0,0"/>
                  <v:fill on="t" focussize="0,0"/>
                  <v:stroke on="f" joinstyle="round"/>
                  <v:imagedata o:title=""/>
                  <o:lock v:ext="edit" aspectratio="f"/>
                </v:shape>
                <v:shape id="文本框 34" o:spid="_x0000_s1026" o:spt="202" alt="KSO_WM_UNIT_INDEX=1_2_7&amp;KSO_WM_UNIT_TYPE=n_h_a&amp;KSO_WM_UNIT_ID=wpsdiag20164965_7*n_h_a*1_2_7&amp;KSO_WM_UNIT_LAYERLEVEL=1_1_1&amp;KSO_WM_UNIT_HIGHLIGHT=0&amp;KSO_WM_UNIT_CLEAR=0&amp;KSO_WM_UNIT_COMPATIBLE=0&amp;KSO_WM_UNIT_PRESET_TEXT=LOREM&amp;KSO_WM_UNIT_VALUE=3&amp;KSO_WM_TAG_VERSION=1.0&amp;KSO_WM_BEAUTIFY_FLAG=#wm#&amp;KSO_WM_TEMPLATE_CATEGORY=wpsdiag&amp;KSO_WM_TEMPLATE_INDEX=20164965&amp;KSO_WM_UNIT_BIND_DECORATION_IDS=wpsdiag20164965_7*n_i*1_15&amp;KSO_WM_SLIDE_ITEM_CNT=7&amp;KSO_WM_DIAGRAM_GROUP_CODE=n1_1&amp;KSO_WM_UNIT_TEXT_FILL_TYPE=1&amp;KSO_WM_UNIT_TEXT_FILL_FORE_SCHEMECOLOR_INDEX=13" type="#_x0000_t202" style="position:absolute;left:516133;top:99417;flip:x y;height:85952;width:267064;rotation:-9790570f;" filled="f" stroked="f" coordsize="21600,21600" o:gfxdata="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URx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CFB9D2D">
                        <w:pPr>
                          <w:pStyle w:val="12"/>
                          <w:snapToGrid w:val="0"/>
                          <w:spacing w:beforeAutospacing="0" w:afterAutospacing="0" w:line="192" w:lineRule="auto"/>
                          <w:rPr>
                            <w:rFonts w:ascii="Arial" w:hAnsi="Arial" w:eastAsia="微软雅黑" w:cs="Arial"/>
                            <w:b/>
                            <w:bCs/>
                            <w:color w:val="000000"/>
                            <w:sz w:val="22"/>
                            <w:szCs w:val="22"/>
                          </w:rPr>
                        </w:pPr>
                        <w:r>
                          <w:rPr>
                            <w:rFonts w:hint="eastAsia" w:ascii="Arial" w:hAnsi="Arial" w:eastAsia="微软雅黑" w:cs="Arial"/>
                            <w:b/>
                            <w:bCs/>
                            <w:color w:val="000000"/>
                            <w:sz w:val="22"/>
                            <w:szCs w:val="22"/>
                          </w:rPr>
                          <w:t>平台运营</w:t>
                        </w:r>
                      </w:p>
                    </w:txbxContent>
                  </v:textbox>
                </v:shape>
                <w10:wrap type="none"/>
                <w10:anchorlock/>
              </v:group>
            </w:pict>
          </mc:Fallback>
        </mc:AlternateContent>
      </w:r>
    </w:p>
    <w:p w14:paraId="7C67388E">
      <w:pPr>
        <w:spacing w:line="360" w:lineRule="auto"/>
        <w:jc w:val="center"/>
        <w:rPr>
          <w:rFonts w:ascii="宋体" w:hAnsi="宋体" w:eastAsia="宋体" w:cs="仿宋"/>
          <w:kern w:val="0"/>
          <w:sz w:val="24"/>
          <w:lang w:bidi="zh-CN"/>
        </w:rPr>
      </w:pPr>
      <w:r>
        <w:rPr>
          <w:rFonts w:hint="eastAsia" w:ascii="宋体" w:hAnsi="宋体" w:eastAsia="宋体" w:cs="仿宋"/>
          <w:kern w:val="0"/>
          <w:sz w:val="24"/>
          <w:lang w:bidi="zh-CN"/>
        </w:rPr>
        <w:t>图3-1十堰北数字电商中心核心功能</w:t>
      </w:r>
    </w:p>
    <w:p w14:paraId="064F3F47">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公共服务：建立一站式公共服务中心，提供企业注册、法律咨询、财务代理、税务筹划等全方位服务，简化入驻流程，降低电商企业入驻门槛；及时发布和解读国家及地方关于电子商务的相关政策，为企业提供政策咨询和指导服务，帮助企业充分利用政策红利，优化经营策略，提升市场竞争力；建立完善的电子档案系统，存储企业基本信息、经营状态、信用记录等，便于企业随时查询和政府部门监管；依托先进的检测技术和认证体系，为企业提供快速、准确的产品检测服务，确保产品符合国家标准和行业要求；建立产品质量追溯体系，从原材料采购到生产、销售全过程记录，实现产品质量的可追溯性，增强消费者信心；建立跨境电商服务中心，提供跨境支付、物流追踪、海外仓储等一站式解决方案，助力郧阳产品走出国门。</w:t>
      </w:r>
    </w:p>
    <w:p w14:paraId="759D57DB">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平台运营：建设和运营一系列电商平台，包括B2B、B2C、C2C等多种模式，以满足不同企业和消费者的需求；依托电商专业服务商、行业协会、高校师资等，组建电商运营专家团队，围绕企业电商运营提供全流程咨询服务；打造电商智慧数据平台，实现县域电商企业交易数据全覆盖，做好电商发展基础数据统计，建立本地网货目录数据库，通过数据挖掘了解市场需求，进一步更新完善本地网货数据库。</w:t>
      </w:r>
    </w:p>
    <w:p w14:paraId="54AEF4DB">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直播运营：通过配备专业的直播场地，包括不同风格的直播间、高清摄像设备、音频设备、灯光系统等，以满足不同品类、不同风格的直播需求；积极与郧阳区内的特色农产品品牌、文旅项目等合作，通过直播形式进行产品推广和品牌宣传，通过策划各类直播活动，如农产品丰收节直播、文旅景点直播等，提升品牌知名度和产品销量；邀请知名主播、行业专家进行定期培训，内容涵盖直播技巧、产品知识、销售技巧、粉丝互动等，帮助新手主播快速成长；开展主播孵化计划，为有潜力的主播提供流量扶持、品牌推广等全方位支持，打造一批具有影响力的本土主播。</w:t>
      </w:r>
    </w:p>
    <w:p w14:paraId="73F625B1">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——供应链整合：依托</w:t>
      </w:r>
      <w:r>
        <w:rPr>
          <w:rFonts w:ascii="宋体" w:hAnsi="宋体" w:eastAsia="宋体" w:cs="仿宋"/>
          <w:kern w:val="0"/>
          <w:sz w:val="24"/>
          <w:lang w:bidi="zh-CN"/>
        </w:rPr>
        <w:t>供应链体系建设服务中心</w:t>
      </w:r>
      <w:r>
        <w:rPr>
          <w:rFonts w:hint="eastAsia" w:ascii="宋体" w:hAnsi="宋体" w:eastAsia="宋体" w:cs="仿宋"/>
          <w:kern w:val="0"/>
          <w:sz w:val="24"/>
          <w:lang w:bidi="zh-CN"/>
        </w:rPr>
        <w:t>，引入先进供应链管理系统，整合上下游资源，形成从产地直采到终端消费者的无缝对接，缩短供应链条，提高响应速度；依靠专业、先进的电商仓储设施设备，整合农产品市场资源要素，完善冷链物流体系，汇聚郧阳区域内“质优、价优、品全”的源头农产品好货，构建面向郧阳地区的农产品产地直采、区域流通、分拨配送供应链网络，打造郧阳农产品网货供应链中心。</w:t>
      </w:r>
    </w:p>
    <w:p w14:paraId="2ABC1F12">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——项目孵化：依托数字港，改造建设电商创业孵化器，对符合条件的入驻项目给予场地、资金、人才等方面的扶持；设立以</w:t>
      </w:r>
      <w:r>
        <w:rPr>
          <w:rFonts w:hint="eastAsia" w:ascii="宋体" w:hAnsi="宋体" w:eastAsia="宋体" w:cs="仿宋"/>
          <w:kern w:val="0"/>
          <w:sz w:val="24"/>
        </w:rPr>
        <w:t>聚鑫国投集团</w:t>
      </w:r>
      <w:r>
        <w:rPr>
          <w:rFonts w:hint="eastAsia" w:ascii="宋体" w:hAnsi="宋体" w:eastAsia="宋体" w:cs="仿宋"/>
          <w:kern w:val="0"/>
          <w:sz w:val="24"/>
          <w:lang w:bidi="zh-CN"/>
        </w:rPr>
        <w:t>自有资金和投资机构资金相互配合的电商项目发展扶持资金；引进知名电商创业孵化器运营团队，建立保姆式电商创业项目孵化机制，定期举办电商创业培训沙龙活动等。</w:t>
      </w:r>
    </w:p>
    <w:p w14:paraId="3ED1913E">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人才培育：强化郧阳区电商人才培训师资力量，鼓励完善配套课程，开展直播电商专业体系化培训；引进专业的电商人才培训机构，建立电商人才培训转化机制。依托行业协会、电商企业，开展电子商务专题培训，提高电子商务从业人员专业能力；完善配套政策，定期组织开展郧阳区电商人才专场招聘会，促进电商人才交流等。</w:t>
      </w:r>
    </w:p>
    <w:p w14:paraId="41F9C3B0">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——智慧云仓：</w:t>
      </w:r>
      <w:r>
        <w:rPr>
          <w:rFonts w:ascii="宋体" w:hAnsi="宋体" w:eastAsia="宋体" w:cs="仿宋"/>
          <w:kern w:val="0"/>
          <w:sz w:val="24"/>
          <w:lang w:bidi="zh-CN"/>
        </w:rPr>
        <w:t>整合</w:t>
      </w:r>
      <w:r>
        <w:rPr>
          <w:rFonts w:hint="eastAsia" w:ascii="宋体" w:hAnsi="宋体" w:eastAsia="宋体" w:cs="仿宋"/>
          <w:kern w:val="0"/>
          <w:sz w:val="24"/>
          <w:lang w:bidi="zh-CN"/>
        </w:rPr>
        <w:t>区</w:t>
      </w:r>
      <w:r>
        <w:rPr>
          <w:rFonts w:ascii="宋体" w:hAnsi="宋体" w:eastAsia="宋体" w:cs="仿宋"/>
          <w:kern w:val="0"/>
          <w:sz w:val="24"/>
          <w:lang w:bidi="zh-CN"/>
        </w:rPr>
        <w:t>域内的物流资源，提供统一的物流配送服务，提高整体物流效率</w:t>
      </w:r>
      <w:r>
        <w:rPr>
          <w:rFonts w:hint="eastAsia" w:ascii="宋体" w:hAnsi="宋体" w:eastAsia="宋体" w:cs="仿宋"/>
          <w:kern w:val="0"/>
          <w:sz w:val="24"/>
          <w:lang w:bidi="zh-CN"/>
        </w:rPr>
        <w:t>。</w:t>
      </w:r>
      <w:r>
        <w:rPr>
          <w:rFonts w:ascii="宋体" w:hAnsi="宋体" w:eastAsia="宋体" w:cs="仿宋"/>
          <w:kern w:val="0"/>
          <w:sz w:val="24"/>
          <w:lang w:bidi="zh-CN"/>
        </w:rPr>
        <w:t>向</w:t>
      </w:r>
      <w:r>
        <w:rPr>
          <w:rFonts w:hint="eastAsia" w:ascii="宋体" w:hAnsi="宋体" w:eastAsia="宋体" w:cs="仿宋"/>
          <w:kern w:val="0"/>
          <w:sz w:val="24"/>
          <w:lang w:bidi="zh-CN"/>
        </w:rPr>
        <w:t>区</w:t>
      </w:r>
      <w:r>
        <w:rPr>
          <w:rFonts w:ascii="宋体" w:hAnsi="宋体" w:eastAsia="宋体" w:cs="仿宋"/>
          <w:kern w:val="0"/>
          <w:sz w:val="24"/>
          <w:lang w:bidi="zh-CN"/>
        </w:rPr>
        <w:t>域内中小型企业开放仓储资源，通过共享仓储降低企业的物流和库存管理成本。合理规划仓库的功能区域，比如收货区、存储区、拣选区、包装区、发货区等，确保作业流程顺畅。</w:t>
      </w:r>
      <w:r>
        <w:rPr>
          <w:rFonts w:hint="eastAsia" w:ascii="宋体" w:hAnsi="宋体" w:eastAsia="宋体" w:cs="仿宋"/>
          <w:kern w:val="0"/>
          <w:sz w:val="24"/>
          <w:lang w:bidi="zh-CN"/>
        </w:rPr>
        <w:t>加强云仓硬件和软件建设，引入先进的仓储管理系统，配备自动化仓储设备，提供数据分析和可视化服务，配备安全监控系统和应急响应机制。</w:t>
      </w:r>
    </w:p>
    <w:p w14:paraId="284EFB52">
      <w:pPr>
        <w:pStyle w:val="3"/>
        <w:rPr>
          <w:rFonts w:asciiTheme="minorEastAsia" w:hAnsiTheme="minorEastAsia" w:eastAsiaTheme="minorEastAsia"/>
          <w:sz w:val="28"/>
          <w:szCs w:val="28"/>
        </w:rPr>
      </w:pPr>
      <w:bookmarkStart w:id="18" w:name="_Toc181666861"/>
      <w:bookmarkStart w:id="19" w:name="_Toc183083274"/>
      <w:r>
        <w:rPr>
          <w:rFonts w:asciiTheme="minorEastAsia" w:hAnsiTheme="minorEastAsia" w:eastAsiaTheme="minorEastAsia"/>
          <w:sz w:val="28"/>
          <w:szCs w:val="28"/>
        </w:rPr>
        <w:t>二、两翼齐飞</w:t>
      </w:r>
      <w:bookmarkEnd w:id="18"/>
      <w:bookmarkEnd w:id="19"/>
    </w:p>
    <w:p w14:paraId="3B4F4A14">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两翼齐飞”是指基于各地区优势资源和产业，以数字港电商中心为基础，在汉江北部重点打造郧阳现代农特科技产业电商集聚区，在汉江南重点打造郧阳文旅康养电商集聚区。通过数字港电商中心、文旅康养电商集聚区、农特科技电商集聚区三者之间的深入合作，有效扩展郧阳区电子商务的应用范围，提高电子商务发展的质量，引领全域发展。</w:t>
      </w:r>
    </w:p>
    <w:p w14:paraId="697A2425">
      <w:pPr>
        <w:spacing w:line="360" w:lineRule="auto"/>
        <w:ind w:firstLine="482" w:firstLineChars="200"/>
        <w:rPr>
          <w:rFonts w:ascii="宋体" w:hAnsi="宋体" w:eastAsia="宋体" w:cs="仿宋"/>
          <w:kern w:val="0"/>
          <w:sz w:val="24"/>
          <w:lang w:bidi="zh-CN"/>
        </w:rPr>
      </w:pPr>
      <w:r>
        <w:rPr>
          <w:rFonts w:hint="eastAsia" w:ascii="宋体" w:hAnsi="宋体" w:eastAsia="宋体" w:cs="仿宋"/>
          <w:b/>
          <w:bCs/>
          <w:kern w:val="0"/>
          <w:sz w:val="24"/>
          <w:lang w:bidi="zh-CN"/>
        </w:rPr>
        <w:t>（一）打造江北农特科技产业电商</w:t>
      </w:r>
      <w:r>
        <w:rPr>
          <w:rFonts w:hint="eastAsia" w:ascii="宋体" w:hAnsi="宋体" w:eastAsia="宋体" w:cs="仿宋"/>
          <w:b/>
          <w:kern w:val="0"/>
          <w:sz w:val="24"/>
          <w:lang w:bidi="zh-CN"/>
        </w:rPr>
        <w:t>集聚</w:t>
      </w:r>
      <w:r>
        <w:rPr>
          <w:rFonts w:hint="eastAsia" w:ascii="宋体" w:hAnsi="宋体" w:eastAsia="宋体" w:cs="仿宋"/>
          <w:b/>
          <w:bCs/>
          <w:kern w:val="0"/>
          <w:sz w:val="24"/>
          <w:lang w:bidi="zh-CN"/>
        </w:rPr>
        <w:t>区。</w:t>
      </w:r>
      <w:r>
        <w:rPr>
          <w:rFonts w:hint="eastAsia" w:ascii="宋体" w:hAnsi="宋体" w:eastAsia="宋体" w:cs="仿宋"/>
          <w:kern w:val="0"/>
          <w:sz w:val="24"/>
          <w:lang w:bidi="zh-CN"/>
        </w:rPr>
        <w:t>郧阳区汉江北部具有丰富的有机农产品，该电商集聚区应聚焦于农产品的种植、养殖、加工、技术研发与推广等方面，形成完整的产业链条，是推动农业现代化、提升农产品附加值的重要平台。加大对现代农特科技产业电商集聚区的基础设施投入，确保农产品能够快速、安全地通过网络销售到全国各地。建立电商集聚区与电商中心之间的信息共享机制，包括市场信息、技术信息、物流信息等。通过信息共享，双方可以及时了解市场动态，调整生产和销售策略，提高整体运营效率。通过这些措施推动两者之间的协同发展，共同推动农业产业的转型升级和高质量发展。</w:t>
      </w:r>
    </w:p>
    <w:p w14:paraId="6ECC3C08">
      <w:pPr>
        <w:spacing w:line="360" w:lineRule="auto"/>
        <w:ind w:firstLine="482" w:firstLineChars="200"/>
        <w:rPr>
          <w:rFonts w:ascii="宋体" w:hAnsi="宋体" w:eastAsia="宋体" w:cs="仿宋"/>
          <w:kern w:val="0"/>
          <w:sz w:val="24"/>
          <w:lang w:bidi="ar"/>
        </w:rPr>
      </w:pPr>
      <w:r>
        <w:rPr>
          <w:rFonts w:hint="eastAsia" w:ascii="宋体" w:hAnsi="宋体" w:eastAsia="宋体" w:cs="仿宋"/>
          <w:b/>
          <w:bCs/>
          <w:kern w:val="0"/>
          <w:sz w:val="24"/>
          <w:lang w:bidi="zh-CN"/>
        </w:rPr>
        <w:t>（二）打造江南文旅康养</w:t>
      </w:r>
      <w:r>
        <w:rPr>
          <w:rFonts w:hint="eastAsia" w:ascii="宋体" w:hAnsi="宋体" w:eastAsia="宋体" w:cs="仿宋"/>
          <w:b/>
          <w:kern w:val="0"/>
          <w:sz w:val="24"/>
          <w:lang w:bidi="zh-CN"/>
        </w:rPr>
        <w:t>电商集聚区</w:t>
      </w:r>
      <w:r>
        <w:rPr>
          <w:rFonts w:hint="eastAsia" w:ascii="宋体" w:hAnsi="宋体" w:eastAsia="宋体" w:cs="仿宋"/>
          <w:b/>
          <w:bCs/>
          <w:kern w:val="0"/>
          <w:sz w:val="24"/>
          <w:lang w:bidi="zh-CN"/>
        </w:rPr>
        <w:t>。</w:t>
      </w:r>
      <w:r>
        <w:rPr>
          <w:rFonts w:hint="eastAsia" w:ascii="宋体" w:hAnsi="宋体" w:eastAsia="宋体" w:cs="仿宋"/>
          <w:kern w:val="0"/>
          <w:sz w:val="24"/>
          <w:lang w:bidi="zh-CN"/>
        </w:rPr>
        <w:t>郧阳区汉江南部具有丰富的自然旅游资源，沧浪山国家森林公园、鲍峡镇大佛山林场天然生态特色突出，利用电商平台优势，加强周边产业链联动、多业态融合及景区横向串联，通过借力发展和融合发力，体现康养特色。通过电商平台销售郧阳的旅游套餐、景点门票、特色旅游商品等；利用各类电商平台、社交媒体、短视频平台等进行文旅康养资源的宣传推广，推出多样化的旅游产品组合，如“文化体验+康养度假”“山水观光+美食之旅”等，满足不同游客的需求；将郧阳的特色农产品、中药材、养生保健品等与康养产业相结合，通过电商平台进行销售和推广；通过电子商务平台，将郧阳的旅游景点、酒店、民宿、餐饮、康养机构等资源进行整合，为游客提供一站式的服务。</w:t>
      </w:r>
    </w:p>
    <w:p w14:paraId="20E0999F">
      <w:pPr>
        <w:pStyle w:val="3"/>
        <w:rPr>
          <w:rFonts w:asciiTheme="minorEastAsia" w:hAnsiTheme="minorEastAsia" w:eastAsiaTheme="minorEastAsia"/>
          <w:sz w:val="28"/>
          <w:szCs w:val="28"/>
        </w:rPr>
      </w:pPr>
      <w:bookmarkStart w:id="20" w:name="_Toc183083275"/>
      <w:bookmarkStart w:id="21" w:name="_Toc181666862"/>
      <w:r>
        <w:rPr>
          <w:rFonts w:asciiTheme="minorEastAsia" w:hAnsiTheme="minorEastAsia" w:eastAsiaTheme="minorEastAsia"/>
          <w:sz w:val="28"/>
          <w:szCs w:val="28"/>
        </w:rPr>
        <w:t>三、三镇辐射</w:t>
      </w:r>
      <w:bookmarkEnd w:id="20"/>
    </w:p>
    <w:p w14:paraId="7B0BE2C8">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“三镇辐射”是指基于地理位置和电商产业分布情况，将南化塘镇、茶店镇和鲍峡镇打造成电商小镇，发挥这三个乡镇的示范引领作用，带动和集成周边乡镇的电商发展。</w:t>
      </w:r>
    </w:p>
    <w:p w14:paraId="35348233">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南化塘袜业电商小镇。依托袜业产业园，以迦娜针织、</w:t>
      </w:r>
      <w:r>
        <w:rPr>
          <w:rFonts w:ascii="宋体" w:hAnsi="宋体" w:eastAsia="宋体" w:cs="仿宋"/>
          <w:kern w:val="0"/>
          <w:sz w:val="24"/>
          <w:lang w:bidi="zh-CN"/>
        </w:rPr>
        <w:t>羽腾针织、千色针织、向党袜业、兴春针织等袜业</w:t>
      </w:r>
      <w:r>
        <w:rPr>
          <w:rFonts w:hint="eastAsia" w:ascii="宋体" w:hAnsi="宋体" w:eastAsia="宋体" w:cs="仿宋"/>
          <w:kern w:val="0"/>
          <w:sz w:val="24"/>
          <w:lang w:bidi="zh-CN"/>
        </w:rPr>
        <w:t>公司为基础，</w:t>
      </w:r>
      <w:r>
        <w:rPr>
          <w:rFonts w:ascii="宋体" w:hAnsi="宋体" w:eastAsia="宋体" w:cs="仿宋"/>
          <w:kern w:val="0"/>
          <w:sz w:val="24"/>
          <w:lang w:bidi="zh-CN"/>
        </w:rPr>
        <w:t>持续开展</w:t>
      </w:r>
      <w:r>
        <w:rPr>
          <w:rFonts w:hint="eastAsia" w:ascii="宋体" w:hAnsi="宋体" w:eastAsia="宋体" w:cs="仿宋"/>
          <w:kern w:val="0"/>
          <w:sz w:val="24"/>
          <w:lang w:bidi="zh-CN"/>
        </w:rPr>
        <w:t>袜业</w:t>
      </w:r>
      <w:r>
        <w:rPr>
          <w:rFonts w:ascii="宋体" w:hAnsi="宋体" w:eastAsia="宋体" w:cs="仿宋"/>
          <w:kern w:val="0"/>
          <w:sz w:val="24"/>
          <w:lang w:bidi="zh-CN"/>
        </w:rPr>
        <w:t>延链补链强链，</w:t>
      </w:r>
      <w:r>
        <w:rPr>
          <w:rFonts w:hint="eastAsia" w:ascii="宋体" w:hAnsi="宋体" w:eastAsia="宋体" w:cs="仿宋"/>
          <w:kern w:val="0"/>
          <w:sz w:val="24"/>
          <w:lang w:bidi="zh-CN"/>
        </w:rPr>
        <w:t>加快袜业“智改数转”，着力提升“袜业产业大脑”，全域推进袜业企业生产制造数字化、智能化，形成以“产业大脑+数字车间”为主体的现代袜业产业体系。</w:t>
      </w:r>
      <w:r>
        <w:rPr>
          <w:rFonts w:ascii="宋体" w:hAnsi="宋体" w:eastAsia="宋体" w:cs="仿宋"/>
          <w:kern w:val="0"/>
          <w:sz w:val="24"/>
          <w:lang w:bidi="zh-CN"/>
        </w:rPr>
        <w:t>加强产业配套、人才建设、营商环境等一系列支撑，搭建支柱产业与</w:t>
      </w:r>
      <w:r>
        <w:rPr>
          <w:rFonts w:hint="eastAsia" w:ascii="宋体" w:hAnsi="宋体" w:eastAsia="宋体" w:cs="仿宋"/>
          <w:kern w:val="0"/>
          <w:sz w:val="24"/>
          <w:lang w:bidi="zh-CN"/>
        </w:rPr>
        <w:t>内贸电商、</w:t>
      </w:r>
      <w:r>
        <w:rPr>
          <w:rFonts w:ascii="宋体" w:hAnsi="宋体" w:eastAsia="宋体" w:cs="仿宋"/>
          <w:kern w:val="0"/>
          <w:sz w:val="24"/>
          <w:lang w:bidi="zh-CN"/>
        </w:rPr>
        <w:t>跨境电商对接合作渠道，“以贸促工”助推本地产业提质升级，</w:t>
      </w:r>
      <w:r>
        <w:rPr>
          <w:rFonts w:hint="eastAsia" w:ascii="宋体" w:hAnsi="宋体" w:eastAsia="宋体" w:cs="仿宋"/>
          <w:kern w:val="0"/>
          <w:sz w:val="24"/>
          <w:lang w:bidi="zh-CN"/>
        </w:rPr>
        <w:t>按照“集镇-中心村-加工作坊”的模式，以点穿线，连线成片，形成以南化塘镇为中心、辐射白浪、刘洞、谭山、杨溪铺等周边乡镇的袜业电商小镇。</w:t>
      </w:r>
    </w:p>
    <w:p w14:paraId="324B2AA7">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茶店产业电商小镇。依托十堰高新区，按照“专业化定位、市场化机制、企业化运营、平台化支撑”的原则，大力实施</w:t>
      </w:r>
      <w:r>
        <w:rPr>
          <w:rFonts w:ascii="宋体" w:hAnsi="宋体" w:eastAsia="宋体" w:cs="仿宋"/>
          <w:kern w:val="0"/>
          <w:sz w:val="24"/>
          <w:lang w:bidi="zh-CN"/>
        </w:rPr>
        <w:t>“数商兴产”策略</w:t>
      </w:r>
      <w:r>
        <w:rPr>
          <w:rFonts w:hint="eastAsia" w:ascii="宋体" w:hAnsi="宋体" w:eastAsia="宋体" w:cs="仿宋"/>
          <w:kern w:val="0"/>
          <w:sz w:val="24"/>
          <w:lang w:bidi="zh-CN"/>
        </w:rPr>
        <w:t>，深入谋划布局，培植电商根基，大力培育和发展新产业、新业态、新模式、新动能，对新能源和智能网联汽车产业、新材料产业、生物科技产业等产业进行电子商务改造升级，发挥神河、环创、大运、万润、华阳、佳恒、伟士通、国大新材料、绿筷子等</w:t>
      </w:r>
      <w:r>
        <w:rPr>
          <w:rFonts w:ascii="宋体" w:hAnsi="宋体" w:eastAsia="宋体" w:cs="仿宋"/>
          <w:kern w:val="0"/>
          <w:sz w:val="24"/>
          <w:lang w:bidi="zh-CN"/>
        </w:rPr>
        <w:t>骨干企业龙头引领作用，</w:t>
      </w:r>
      <w:r>
        <w:rPr>
          <w:rFonts w:hint="eastAsia" w:ascii="宋体" w:hAnsi="宋体" w:eastAsia="宋体" w:cs="仿宋"/>
          <w:kern w:val="0"/>
          <w:sz w:val="24"/>
          <w:lang w:bidi="zh-CN"/>
        </w:rPr>
        <w:t>打造特色产业链。建设高新区数字经济孵化中心，</w:t>
      </w:r>
      <w:r>
        <w:rPr>
          <w:rFonts w:ascii="宋体" w:hAnsi="宋体" w:eastAsia="宋体" w:cs="仿宋"/>
          <w:kern w:val="0"/>
          <w:sz w:val="24"/>
          <w:lang w:bidi="zh-CN"/>
        </w:rPr>
        <w:t>围绕“平台、人才、物流、服务”四大要素保障，构建</w:t>
      </w:r>
      <w:r>
        <w:rPr>
          <w:rFonts w:hint="eastAsia" w:ascii="宋体" w:hAnsi="宋体" w:eastAsia="宋体" w:cs="仿宋"/>
          <w:kern w:val="0"/>
          <w:sz w:val="24"/>
          <w:lang w:bidi="zh-CN"/>
        </w:rPr>
        <w:t>以高新区</w:t>
      </w:r>
      <w:r>
        <w:rPr>
          <w:rFonts w:ascii="宋体" w:hAnsi="宋体" w:eastAsia="宋体" w:cs="仿宋"/>
          <w:kern w:val="0"/>
          <w:sz w:val="24"/>
          <w:lang w:bidi="zh-CN"/>
        </w:rPr>
        <w:t>为载体的电商产业发展支撑平台和产业人才“引、育、管、用”基地，不断完善涵盖供应链、物流、金融等关键环节的服务体系</w:t>
      </w:r>
      <w:r>
        <w:rPr>
          <w:rFonts w:hint="eastAsia" w:ascii="宋体" w:hAnsi="宋体" w:eastAsia="宋体" w:cs="仿宋"/>
          <w:kern w:val="0"/>
          <w:sz w:val="24"/>
          <w:lang w:bidi="zh-CN"/>
        </w:rPr>
        <w:t>，</w:t>
      </w:r>
      <w:r>
        <w:rPr>
          <w:rFonts w:ascii="宋体" w:hAnsi="宋体" w:eastAsia="宋体" w:cs="仿宋"/>
          <w:kern w:val="0"/>
          <w:sz w:val="24"/>
          <w:lang w:bidi="zh-CN"/>
        </w:rPr>
        <w:t>激发产业集群活力，</w:t>
      </w:r>
      <w:r>
        <w:rPr>
          <w:rFonts w:hint="eastAsia" w:ascii="宋体" w:hAnsi="宋体" w:eastAsia="宋体" w:cs="仿宋"/>
          <w:kern w:val="0"/>
          <w:sz w:val="24"/>
          <w:lang w:bidi="zh-CN"/>
        </w:rPr>
        <w:t>聚集区域电商新势力，</w:t>
      </w:r>
      <w:r>
        <w:rPr>
          <w:rFonts w:ascii="宋体" w:hAnsi="宋体" w:eastAsia="宋体" w:cs="仿宋"/>
          <w:kern w:val="0"/>
          <w:sz w:val="24"/>
          <w:lang w:bidi="zh-CN"/>
        </w:rPr>
        <w:t>实现规模化和品牌化发展</w:t>
      </w:r>
      <w:r>
        <w:rPr>
          <w:rFonts w:hint="eastAsia" w:ascii="宋体" w:hAnsi="宋体" w:eastAsia="宋体" w:cs="仿宋"/>
          <w:kern w:val="0"/>
          <w:sz w:val="24"/>
          <w:lang w:bidi="zh-CN"/>
        </w:rPr>
        <w:t>，形成以茶店镇为中心、辐射</w:t>
      </w:r>
      <w:r>
        <w:rPr>
          <w:rFonts w:ascii="宋体" w:hAnsi="宋体" w:eastAsia="宋体" w:cs="仿宋"/>
          <w:kern w:val="0"/>
          <w:sz w:val="24"/>
          <w:lang w:bidi="zh-CN"/>
        </w:rPr>
        <w:t>城关、柳陂、杨溪铺、谭家湾</w:t>
      </w:r>
      <w:r>
        <w:rPr>
          <w:rFonts w:hint="eastAsia" w:ascii="宋体" w:hAnsi="宋体" w:eastAsia="宋体" w:cs="仿宋"/>
          <w:kern w:val="0"/>
          <w:sz w:val="24"/>
          <w:lang w:bidi="zh-CN"/>
        </w:rPr>
        <w:t>等周边乡镇的产业电商小镇。</w:t>
      </w:r>
    </w:p>
    <w:p w14:paraId="3F26867F">
      <w:pPr>
        <w:spacing w:line="360" w:lineRule="auto"/>
        <w:ind w:firstLine="480" w:firstLineChars="200"/>
        <w:rPr>
          <w:rFonts w:ascii="Arial" w:hAnsi="Arial" w:cs="Arial"/>
          <w:shd w:val="clear" w:color="auto" w:fill="FFFFFF"/>
        </w:rPr>
      </w:pPr>
      <w:r>
        <w:rPr>
          <w:rFonts w:hint="eastAsia" w:ascii="宋体" w:hAnsi="宋体" w:eastAsia="宋体" w:cs="仿宋"/>
          <w:kern w:val="0"/>
          <w:sz w:val="24"/>
          <w:lang w:bidi="zh-CN"/>
        </w:rPr>
        <w:t>鲍峡文旅电商小镇。以</w:t>
      </w:r>
      <w:r>
        <w:rPr>
          <w:rFonts w:ascii="宋体" w:hAnsi="宋体" w:eastAsia="宋体" w:cs="仿宋"/>
          <w:kern w:val="0"/>
          <w:sz w:val="24"/>
          <w:lang w:bidi="zh-CN"/>
        </w:rPr>
        <w:t>云盖寺绿松石国家地质自然公园</w:t>
      </w:r>
      <w:r>
        <w:rPr>
          <w:rFonts w:hint="eastAsia" w:ascii="宋体" w:hAnsi="宋体" w:eastAsia="宋体" w:cs="仿宋"/>
          <w:kern w:val="0"/>
          <w:sz w:val="24"/>
          <w:lang w:bidi="zh-CN"/>
        </w:rPr>
        <w:t>、沧浪山国家森林公园为基础，</w:t>
      </w:r>
      <w:r>
        <w:rPr>
          <w:rFonts w:ascii="宋体" w:hAnsi="宋体" w:eastAsia="宋体" w:cs="仿宋"/>
          <w:kern w:val="0"/>
          <w:sz w:val="24"/>
          <w:lang w:bidi="zh-CN"/>
        </w:rPr>
        <w:t>加强对云盖寺绿松石文化、沧浪山森林康养资源等文化遗产的保护，挖掘其历史内涵和文化价值</w:t>
      </w:r>
      <w:r>
        <w:rPr>
          <w:rFonts w:hint="eastAsia" w:ascii="宋体" w:hAnsi="宋体" w:eastAsia="宋体" w:cs="仿宋"/>
          <w:kern w:val="0"/>
          <w:sz w:val="24"/>
          <w:lang w:bidi="zh-CN"/>
        </w:rPr>
        <w:t>，</w:t>
      </w:r>
      <w:r>
        <w:rPr>
          <w:rFonts w:ascii="宋体" w:hAnsi="宋体" w:eastAsia="宋体" w:cs="仿宋"/>
          <w:kern w:val="0"/>
          <w:sz w:val="24"/>
          <w:lang w:bidi="zh-CN"/>
        </w:rPr>
        <w:t>提炼具有市场价值的文化符号，打造独特的文化IP，如绿松石文化博览、商品展销、观光游玩等</w:t>
      </w:r>
      <w:r>
        <w:rPr>
          <w:rFonts w:hint="eastAsia" w:ascii="宋体" w:hAnsi="宋体" w:eastAsia="宋体" w:cs="仿宋"/>
          <w:kern w:val="0"/>
          <w:sz w:val="24"/>
          <w:lang w:bidi="zh-CN"/>
        </w:rPr>
        <w:t>。</w:t>
      </w:r>
      <w:r>
        <w:rPr>
          <w:rFonts w:ascii="宋体" w:hAnsi="宋体" w:eastAsia="宋体" w:cs="仿宋"/>
          <w:kern w:val="0"/>
          <w:sz w:val="24"/>
          <w:lang w:bidi="zh-CN"/>
        </w:rPr>
        <w:t>推动绿松石产业与电商深度融合，鼓励企业和商家拓展电商渠道，加强品牌建设和市场推广，提升鲍峡绿松石在全国乃至国际市场的知名度和竞争力</w:t>
      </w:r>
      <w:r>
        <w:rPr>
          <w:rFonts w:hint="eastAsia" w:ascii="宋体" w:hAnsi="宋体" w:eastAsia="宋体" w:cs="仿宋"/>
          <w:kern w:val="0"/>
          <w:sz w:val="24"/>
          <w:lang w:bidi="zh-CN"/>
        </w:rPr>
        <w:t>。</w:t>
      </w:r>
      <w:r>
        <w:rPr>
          <w:rFonts w:ascii="宋体" w:hAnsi="宋体" w:eastAsia="宋体" w:cs="仿宋"/>
          <w:kern w:val="0"/>
          <w:sz w:val="24"/>
          <w:lang w:bidi="zh-CN"/>
        </w:rPr>
        <w:t>结合当地实际，发展特色农业，如猕猴桃、天麻、茶叶等种植，并进行农产品加工，开发相关旅游商品；利用山区自然景观优势，发展生态旅游、休闲康养等产业，形成多产业协同发展的格局</w:t>
      </w:r>
      <w:r>
        <w:rPr>
          <w:rFonts w:hint="eastAsia" w:ascii="宋体" w:hAnsi="宋体" w:eastAsia="宋体" w:cs="仿宋"/>
          <w:kern w:val="0"/>
          <w:sz w:val="24"/>
          <w:lang w:bidi="zh-CN"/>
        </w:rPr>
        <w:t>。</w:t>
      </w:r>
      <w:r>
        <w:rPr>
          <w:rFonts w:ascii="宋体" w:hAnsi="宋体" w:eastAsia="宋体" w:cs="仿宋"/>
          <w:kern w:val="0"/>
          <w:sz w:val="24"/>
          <w:lang w:bidi="zh-CN"/>
        </w:rPr>
        <w:t>以文旅资源为依托，电商赋能为核心，以配套服务为支撑，充分盘活农村闲置资源，融合“电商+文旅”两种业态助力乡村蓬勃发展，</w:t>
      </w:r>
      <w:r>
        <w:rPr>
          <w:rFonts w:hint="eastAsia" w:ascii="宋体" w:hAnsi="宋体" w:eastAsia="宋体" w:cs="仿宋"/>
          <w:kern w:val="0"/>
          <w:sz w:val="24"/>
          <w:lang w:bidi="zh-CN"/>
        </w:rPr>
        <w:t>打造以鲍峡镇为中心、辐射</w:t>
      </w:r>
      <w:r>
        <w:rPr>
          <w:rFonts w:ascii="宋体" w:hAnsi="宋体" w:eastAsia="宋体" w:cs="仿宋"/>
          <w:kern w:val="0"/>
          <w:sz w:val="24"/>
          <w:lang w:bidi="zh-CN"/>
        </w:rPr>
        <w:t>青曲</w:t>
      </w:r>
      <w:r>
        <w:rPr>
          <w:rFonts w:hint="eastAsia" w:ascii="宋体" w:hAnsi="宋体" w:eastAsia="宋体" w:cs="仿宋"/>
          <w:kern w:val="0"/>
          <w:sz w:val="24"/>
          <w:lang w:bidi="zh-CN"/>
        </w:rPr>
        <w:t>、</w:t>
      </w:r>
      <w:r>
        <w:rPr>
          <w:rFonts w:ascii="宋体" w:hAnsi="宋体" w:eastAsia="宋体" w:cs="仿宋"/>
          <w:kern w:val="0"/>
          <w:sz w:val="24"/>
          <w:lang w:bidi="zh-CN"/>
        </w:rPr>
        <w:t>胡家营</w:t>
      </w:r>
      <w:r>
        <w:rPr>
          <w:rFonts w:hint="eastAsia" w:ascii="宋体" w:hAnsi="宋体" w:eastAsia="宋体" w:cs="仿宋"/>
          <w:kern w:val="0"/>
          <w:sz w:val="24"/>
          <w:lang w:bidi="zh-CN"/>
        </w:rPr>
        <w:t>、</w:t>
      </w:r>
      <w:r>
        <w:rPr>
          <w:rFonts w:ascii="宋体" w:hAnsi="宋体" w:eastAsia="宋体" w:cs="仿宋"/>
          <w:kern w:val="0"/>
          <w:sz w:val="24"/>
          <w:lang w:bidi="zh-CN"/>
        </w:rPr>
        <w:t>叶大、五峰、红岩背</w:t>
      </w:r>
      <w:r>
        <w:rPr>
          <w:rFonts w:hint="eastAsia" w:ascii="宋体" w:hAnsi="宋体" w:eastAsia="宋体" w:cs="仿宋"/>
          <w:kern w:val="0"/>
          <w:sz w:val="24"/>
          <w:lang w:bidi="zh-CN"/>
        </w:rPr>
        <w:t>等周边乡镇的</w:t>
      </w:r>
      <w:r>
        <w:rPr>
          <w:rFonts w:ascii="宋体" w:hAnsi="宋体" w:eastAsia="宋体" w:cs="仿宋"/>
          <w:kern w:val="0"/>
          <w:sz w:val="24"/>
          <w:lang w:bidi="zh-CN"/>
        </w:rPr>
        <w:t>智慧文旅</w:t>
      </w:r>
      <w:r>
        <w:rPr>
          <w:rFonts w:hint="eastAsia" w:ascii="宋体" w:hAnsi="宋体" w:eastAsia="宋体" w:cs="仿宋"/>
          <w:kern w:val="0"/>
          <w:sz w:val="24"/>
          <w:lang w:bidi="zh-CN"/>
        </w:rPr>
        <w:t>电商小</w:t>
      </w:r>
      <w:r>
        <w:rPr>
          <w:rFonts w:ascii="宋体" w:hAnsi="宋体" w:eastAsia="宋体" w:cs="仿宋"/>
          <w:kern w:val="0"/>
          <w:sz w:val="24"/>
          <w:lang w:bidi="zh-CN"/>
        </w:rPr>
        <w:t>镇</w:t>
      </w:r>
      <w:r>
        <w:rPr>
          <w:rFonts w:hint="eastAsia" w:ascii="宋体" w:hAnsi="宋体" w:eastAsia="宋体" w:cs="仿宋"/>
          <w:kern w:val="0"/>
          <w:sz w:val="24"/>
          <w:lang w:bidi="zh-CN"/>
        </w:rPr>
        <w:t>。</w:t>
      </w:r>
    </w:p>
    <w:p w14:paraId="46997885">
      <w:pPr>
        <w:spacing w:line="360" w:lineRule="auto"/>
        <w:jc w:val="center"/>
        <w:rPr>
          <w:rFonts w:ascii="宋体" w:hAnsi="宋体" w:eastAsia="宋体" w:cs="仿宋"/>
          <w:kern w:val="0"/>
          <w:sz w:val="24"/>
          <w:lang w:bidi="zh-CN"/>
        </w:rPr>
      </w:pPr>
      <w:r>
        <w:rPr>
          <w:rFonts w:ascii="宋体" w:hAnsi="宋体" w:eastAsia="宋体" w:cs="仿宋"/>
          <w:kern w:val="0"/>
          <w:sz w:val="24"/>
          <w:lang w:bidi="zh-CN"/>
        </w:rPr>
        <w:drawing>
          <wp:inline distT="0" distB="0" distL="0" distR="0">
            <wp:extent cx="3475355" cy="3082925"/>
            <wp:effectExtent l="0" t="0" r="0" b="3175"/>
            <wp:docPr id="2" name="图片 2" descr="C:\Users\admin\Documents\WeChat Files\wxid_vhncf9xwzwpm41\FileStorage\Temp\3f634a0d2475d2c2136c1f7cedc1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ocuments\WeChat Files\wxid_vhncf9xwzwpm41\FileStorage\Temp\3f634a0d2475d2c2136c1f7cedc165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483582" cy="3090402"/>
                    </a:xfrm>
                    <a:prstGeom prst="rect">
                      <a:avLst/>
                    </a:prstGeom>
                    <a:noFill/>
                    <a:ln>
                      <a:noFill/>
                    </a:ln>
                  </pic:spPr>
                </pic:pic>
              </a:graphicData>
            </a:graphic>
          </wp:inline>
        </w:drawing>
      </w:r>
    </w:p>
    <w:p w14:paraId="511D95FA">
      <w:pPr>
        <w:spacing w:line="360" w:lineRule="auto"/>
        <w:jc w:val="center"/>
        <w:rPr>
          <w:rFonts w:ascii="宋体" w:hAnsi="宋体" w:eastAsia="宋体" w:cs="仿宋"/>
          <w:kern w:val="0"/>
          <w:sz w:val="24"/>
          <w:lang w:bidi="zh-CN"/>
        </w:rPr>
      </w:pPr>
      <w:r>
        <w:rPr>
          <w:rFonts w:hint="eastAsia" w:ascii="宋体" w:hAnsi="宋体" w:eastAsia="宋体" w:cs="仿宋"/>
          <w:kern w:val="0"/>
          <w:sz w:val="24"/>
          <w:lang w:bidi="zh-CN"/>
        </w:rPr>
        <w:t>图3-2郧阳南北两大电商集聚区与三大电商小镇示意图</w:t>
      </w:r>
    </w:p>
    <w:p w14:paraId="3B0D6C58">
      <w:pPr>
        <w:pStyle w:val="3"/>
        <w:rPr>
          <w:rFonts w:asciiTheme="minorEastAsia" w:hAnsiTheme="minorEastAsia" w:eastAsiaTheme="minorEastAsia"/>
          <w:sz w:val="28"/>
          <w:szCs w:val="28"/>
        </w:rPr>
      </w:pPr>
      <w:bookmarkStart w:id="22" w:name="_Toc183083276"/>
      <w:r>
        <w:rPr>
          <w:rFonts w:asciiTheme="minorEastAsia" w:hAnsiTheme="minorEastAsia" w:eastAsiaTheme="minorEastAsia"/>
          <w:sz w:val="28"/>
          <w:szCs w:val="28"/>
        </w:rPr>
        <w:t>四、多点发力</w:t>
      </w:r>
      <w:bookmarkEnd w:id="21"/>
      <w:bookmarkEnd w:id="22"/>
    </w:p>
    <w:p w14:paraId="6CE5990B">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多点发力”是指各乡镇抓住电商下沉市场机遇，按照农业调结构、加工农业创品牌、休闲农业观光游的“三业”发展思路，依托本地特色农产品，发展农产品电商，培育镇域电商主导产业，延长加粗产业链，通过电商平台推广本地农产品，提高知名度和影响力。</w:t>
      </w:r>
    </w:p>
    <w:p w14:paraId="4FCE0D8F">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完善镇级电商运营服务中心功能，构建农村电子商务支撑体系、物流体系、公共服务体系、网络营销体系、人才培训体系，畅通农产品进城、工业消费品下乡双向流通渠道。</w:t>
      </w:r>
    </w:p>
    <w:p w14:paraId="441FA764">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大力推进镇域核心产品和区域公共品牌建设，加快构建郧阳区特色农产品目录体系，规划布局“一镇一业”“一镇一品”核心产业。以地理标志产品、老字号产品、特色产品和区域公共品牌为重点，以实施龙头培育、基地建设、标准建设、协会建设、宣传推介“五大工程”为路径，持续推进“二品一标”、荆楚优品品牌、区域公共品牌建设，按照“公用品牌+企业品牌、区级品牌+镇级品牌”的双品牌模式开展农产品品牌培育工作。重点打造郧阳香菇、绿松石、安阳黄酒、郧阳中药材、郧阳菜籽油、梨花村白酒、高香绿茶、郧阳竹笋、青曲猕猴桃等特色品牌。加强品牌运营维护，将农产品与历史文化、民俗文化、乡愁文化相结合，丰富品牌产品内涵，引导电商平台企业与农产品优势特色产区合作，挖掘和培育更多富有地域特色的网络俏销产品。</w:t>
      </w:r>
    </w:p>
    <w:p w14:paraId="4D7849F5">
      <w:pPr>
        <w:spacing w:line="360" w:lineRule="auto"/>
        <w:jc w:val="center"/>
        <w:rPr>
          <w:rFonts w:ascii="宋体" w:hAnsi="宋体" w:eastAsia="宋体" w:cs="Times New Roman"/>
          <w:sz w:val="24"/>
        </w:rPr>
      </w:pPr>
      <w:r>
        <w:rPr>
          <w:rFonts w:hint="eastAsia" w:ascii="宋体" w:hAnsi="宋体" w:eastAsia="宋体" w:cs="Times New Roman"/>
          <w:sz w:val="24"/>
        </w:rPr>
        <w:drawing>
          <wp:inline distT="0" distB="0" distL="114300" distR="114300">
            <wp:extent cx="4922520" cy="4479925"/>
            <wp:effectExtent l="0" t="0" r="0" b="0"/>
            <wp:docPr id="1" name="图片 1"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编辑"/>
                    <pic:cNvPicPr>
                      <a:picLocks noChangeAspect="1"/>
                    </pic:cNvPicPr>
                  </pic:nvPicPr>
                  <pic:blipFill>
                    <a:blip r:embed="rId6"/>
                    <a:stretch>
                      <a:fillRect/>
                    </a:stretch>
                  </pic:blipFill>
                  <pic:spPr>
                    <a:xfrm>
                      <a:off x="0" y="0"/>
                      <a:ext cx="4930583" cy="4486949"/>
                    </a:xfrm>
                    <a:prstGeom prst="rect">
                      <a:avLst/>
                    </a:prstGeom>
                  </pic:spPr>
                </pic:pic>
              </a:graphicData>
            </a:graphic>
          </wp:inline>
        </w:drawing>
      </w:r>
    </w:p>
    <w:p w14:paraId="04B4EC69">
      <w:pPr>
        <w:autoSpaceDE w:val="0"/>
        <w:autoSpaceDN w:val="0"/>
        <w:spacing w:before="66" w:line="360" w:lineRule="auto"/>
        <w:ind w:right="277"/>
        <w:jc w:val="center"/>
        <w:rPr>
          <w:rFonts w:ascii="宋体" w:hAnsi="宋体" w:eastAsia="宋体" w:cs="仿宋"/>
          <w:kern w:val="0"/>
          <w:sz w:val="24"/>
          <w:lang w:bidi="zh-CN"/>
        </w:rPr>
      </w:pPr>
      <w:r>
        <w:rPr>
          <w:rFonts w:hint="eastAsia" w:ascii="宋体" w:hAnsi="宋体" w:eastAsia="宋体" w:cs="仿宋"/>
          <w:kern w:val="0"/>
          <w:sz w:val="24"/>
          <w:lang w:bidi="zh-CN"/>
        </w:rPr>
        <w:t>图3-3郧阳区镇域电商特色产品</w:t>
      </w:r>
    </w:p>
    <w:p w14:paraId="769D8EA3">
      <w:pPr>
        <w:rPr>
          <w:rFonts w:ascii="宋体" w:hAnsi="宋体" w:eastAsia="宋体" w:cs="仿宋"/>
          <w:kern w:val="0"/>
          <w:sz w:val="24"/>
          <w:lang w:bidi="zh-CN"/>
        </w:rPr>
      </w:pPr>
      <w:r>
        <w:rPr>
          <w:rFonts w:hint="eastAsia" w:ascii="宋体" w:hAnsi="宋体" w:eastAsia="宋体" w:cs="仿宋"/>
          <w:kern w:val="0"/>
          <w:sz w:val="24"/>
          <w:lang w:bidi="zh-CN"/>
        </w:rPr>
        <w:br w:type="page"/>
      </w:r>
    </w:p>
    <w:p w14:paraId="2E47BDAC">
      <w:pPr>
        <w:spacing w:line="360" w:lineRule="auto"/>
      </w:pPr>
    </w:p>
    <w:p w14:paraId="15013E91">
      <w:pPr>
        <w:pStyle w:val="2"/>
        <w:jc w:val="center"/>
        <w:rPr>
          <w:rFonts w:hint="default" w:ascii="黑体" w:hAnsi="黑体" w:eastAsia="黑体"/>
          <w:sz w:val="36"/>
          <w:szCs w:val="36"/>
          <w:lang w:bidi="ar"/>
        </w:rPr>
      </w:pPr>
      <w:bookmarkStart w:id="23" w:name="_Toc181666863"/>
      <w:bookmarkStart w:id="24" w:name="_Toc183083277"/>
      <w:r>
        <w:rPr>
          <w:rFonts w:ascii="黑体" w:hAnsi="黑体" w:eastAsia="黑体"/>
          <w:sz w:val="36"/>
          <w:szCs w:val="36"/>
          <w:lang w:bidi="ar"/>
        </w:rPr>
        <w:t>第四章 主要任务</w:t>
      </w:r>
      <w:bookmarkEnd w:id="23"/>
      <w:bookmarkEnd w:id="24"/>
    </w:p>
    <w:p w14:paraId="59354C81">
      <w:pPr>
        <w:widowControl/>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依据全区经济与社会发展总体部署，结合目前电子商务发展状况与存在问题，未来三年，主要围绕强化电商支撑要素、优化公共服务体系、促进电商三产融合、升级物流配送体系、推动跨境电商发展、聚焦产品品牌建设、加强电商主体引育、打造数字消费场景等，推动郧阳区电子商务高质量发展。</w:t>
      </w:r>
    </w:p>
    <w:p w14:paraId="3F8DD667">
      <w:pPr>
        <w:pStyle w:val="3"/>
        <w:rPr>
          <w:rFonts w:asciiTheme="minorEastAsia" w:hAnsiTheme="minorEastAsia" w:eastAsiaTheme="minorEastAsia"/>
          <w:sz w:val="28"/>
          <w:szCs w:val="28"/>
        </w:rPr>
      </w:pPr>
      <w:bookmarkStart w:id="25" w:name="_Toc183083278"/>
      <w:bookmarkStart w:id="26" w:name="_Toc181666864"/>
      <w:r>
        <w:rPr>
          <w:rFonts w:hint="eastAsia" w:asciiTheme="minorEastAsia" w:hAnsiTheme="minorEastAsia" w:eastAsiaTheme="minorEastAsia"/>
          <w:sz w:val="28"/>
          <w:szCs w:val="28"/>
        </w:rPr>
        <w:t>一、强化电商支撑要素</w:t>
      </w:r>
      <w:bookmarkEnd w:id="25"/>
      <w:bookmarkEnd w:id="26"/>
    </w:p>
    <w:p w14:paraId="315F6EB8">
      <w:pPr>
        <w:widowControl/>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拓展郧阳</w:t>
      </w:r>
      <w:r>
        <w:rPr>
          <w:rFonts w:hint="eastAsia" w:ascii="宋体" w:hAnsi="宋体" w:eastAsia="宋体" w:cs="仿宋"/>
          <w:kern w:val="0"/>
          <w:sz w:val="24"/>
          <w:lang w:val="en-US" w:eastAsia="zh-CN" w:bidi="ar"/>
        </w:rPr>
        <w:t>区</w:t>
      </w:r>
      <w:r>
        <w:rPr>
          <w:rFonts w:hint="eastAsia" w:ascii="宋体" w:hAnsi="宋体" w:eastAsia="宋体" w:cs="仿宋"/>
          <w:kern w:val="0"/>
          <w:sz w:val="24"/>
          <w:lang w:bidi="ar"/>
        </w:rPr>
        <w:t>数字电商发展要素，建设并强化“人、货、场、仓、流、展”六大要素支撑，全力构建链条完整、要素齐全、协同高效的电商生态，以电商赋能产业、以产业带动就业，筑牢产业兴旺、生活富裕的经济基础，加快推进共同富裕，稳步实现富民、兴业、强区。</w:t>
      </w:r>
    </w:p>
    <w:p w14:paraId="18A2AC36">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（一）加强人才引育提质。</w:t>
      </w:r>
      <w:r>
        <w:rPr>
          <w:rFonts w:hint="eastAsia" w:ascii="宋体" w:hAnsi="宋体" w:eastAsia="宋体" w:cs="仿宋"/>
          <w:kern w:val="0"/>
          <w:sz w:val="24"/>
          <w:lang w:bidi="ar"/>
        </w:rPr>
        <w:t>以“知识化、技能化、职业化”为导向，整合郧阳区商务局、人力资源和社会保障局、妇女联合会、供销合作社联合社等部门资源，开展电商专业技能培训活动，做好电商带头人培育工作，强化农村实用人才和新型职业农民培养。</w:t>
      </w:r>
      <w:bookmarkStart w:id="27" w:name="_Hlk181304175"/>
      <w:r>
        <w:rPr>
          <w:rFonts w:hint="eastAsia" w:ascii="宋体" w:hAnsi="宋体" w:eastAsia="宋体" w:cs="仿宋"/>
          <w:kern w:val="0"/>
          <w:sz w:val="24"/>
          <w:lang w:bidi="ar"/>
        </w:rPr>
        <w:t>挖掘</w:t>
      </w:r>
      <w:bookmarkEnd w:id="27"/>
      <w:bookmarkStart w:id="28" w:name="_Hlk181304184"/>
      <w:r>
        <w:rPr>
          <w:rFonts w:hint="eastAsia" w:ascii="宋体" w:hAnsi="宋体" w:eastAsia="宋体" w:cs="仿宋"/>
          <w:kern w:val="0"/>
          <w:sz w:val="24"/>
          <w:lang w:bidi="ar"/>
        </w:rPr>
        <w:t>本地高校、职院电子商务专业资源</w:t>
      </w:r>
      <w:bookmarkEnd w:id="28"/>
      <w:r>
        <w:rPr>
          <w:rFonts w:hint="eastAsia" w:ascii="宋体" w:hAnsi="宋体" w:eastAsia="宋体" w:cs="仿宋"/>
          <w:kern w:val="0"/>
          <w:sz w:val="24"/>
          <w:lang w:bidi="ar"/>
        </w:rPr>
        <w:t>，鼓励校企合作，通过企业引进高素质、多经验的电商团队运营经理人，积极发展现代学徒制，优化人才培养模式，推动高校、职院电子商务专业结合学科优势与郧阳当地电子商务特色，不断更新和完善电子商务知识体系。整合青团、人社、商务等部门资源，持续贯彻落实“万名大学生留（回）郧计划”与《郧阳区支持大学生就业创业若干措施》，加强人才服务，通过提供职业规划、就业指导等服务，帮助其更好地适应农村电商发展需求。同时，优化创业人才激励措施，留住本地人才，注重创新创业优秀导师资源的培育与引进。</w:t>
      </w:r>
    </w:p>
    <w:p w14:paraId="68A24619">
      <w:pPr>
        <w:spacing w:line="360" w:lineRule="auto"/>
        <w:ind w:firstLine="480" w:firstLineChars="200"/>
        <w:rPr>
          <w:rFonts w:ascii="宋体" w:hAnsi="宋体" w:eastAsia="宋体" w:cs="仿宋"/>
          <w:kern w:val="0"/>
          <w:sz w:val="24"/>
          <w:lang w:bidi="ar"/>
        </w:rPr>
      </w:pPr>
      <w:bookmarkStart w:id="29" w:name="_Hlk181304285"/>
      <w:r>
        <w:rPr>
          <w:rFonts w:hint="eastAsia" w:ascii="宋体" w:hAnsi="宋体" w:eastAsia="宋体" w:cs="仿宋"/>
          <w:kern w:val="0"/>
          <w:sz w:val="24"/>
          <w:lang w:val="zh-CN" w:bidi="zh-CN"/>
        </w:rPr>
        <w:t>（二）整合货品供应链资源。</w:t>
      </w:r>
      <w:bookmarkEnd w:id="29"/>
      <w:r>
        <w:rPr>
          <w:rFonts w:hint="eastAsia" w:ascii="宋体" w:hAnsi="宋体" w:eastAsia="宋体" w:cs="仿宋"/>
          <w:kern w:val="0"/>
          <w:sz w:val="24"/>
          <w:lang w:bidi="ar"/>
        </w:rPr>
        <w:t>汇聚优质好物，为产业发展增动力。依托</w:t>
      </w:r>
      <w:r>
        <w:rPr>
          <w:rFonts w:hint="eastAsia" w:ascii="宋体" w:hAnsi="宋体" w:eastAsia="宋体"/>
          <w:sz w:val="24"/>
        </w:rPr>
        <w:t>新能源和智能网联汽车产业</w:t>
      </w:r>
      <w:r>
        <w:rPr>
          <w:rFonts w:hint="eastAsia" w:ascii="宋体" w:hAnsi="宋体" w:eastAsia="宋体" w:cs="仿宋"/>
          <w:kern w:val="0"/>
          <w:sz w:val="24"/>
          <w:lang w:bidi="ar"/>
        </w:rPr>
        <w:t>、</w:t>
      </w:r>
      <w:r>
        <w:rPr>
          <w:rFonts w:hint="eastAsia" w:ascii="宋体" w:hAnsi="宋体" w:eastAsia="宋体"/>
          <w:sz w:val="24"/>
        </w:rPr>
        <w:t>新材料、生物科技、文旅康养</w:t>
      </w:r>
      <w:r>
        <w:rPr>
          <w:rFonts w:hint="eastAsia" w:ascii="宋体" w:hAnsi="宋体" w:eastAsia="宋体" w:cs="仿宋"/>
          <w:kern w:val="0"/>
          <w:sz w:val="24"/>
          <w:lang w:bidi="ar"/>
        </w:rPr>
        <w:t>、</w:t>
      </w:r>
      <w:r>
        <w:rPr>
          <w:rFonts w:hint="eastAsia" w:ascii="宋体" w:hAnsi="宋体" w:eastAsia="宋体"/>
          <w:sz w:val="24"/>
        </w:rPr>
        <w:t>绿色矿业、纺织袜业</w:t>
      </w:r>
      <w:r>
        <w:rPr>
          <w:rFonts w:hint="eastAsia" w:ascii="宋体" w:hAnsi="宋体" w:eastAsia="宋体" w:cs="仿宋"/>
          <w:kern w:val="0"/>
          <w:sz w:val="24"/>
          <w:lang w:bidi="ar"/>
        </w:rPr>
        <w:t>等特色产业，在十堰北数字电商中心设立永久性供应链选品中心，将部分特装展位及知名品牌展位长期保留，打造“郧阳区域公共品牌联盟”，吸引高质量品牌落地郧阳。深化提高郧阳电商选品中心、郧阳电商供应链中心的服务效能，整合货物大盘，推动精细化管理，坚持推进产销高效衔接。进一步深化与十堰城运集团合作，优化郧阳供应链信息服务平台，加强与省级供应链平台合作协同，解决“找货难、代发难、起步难”等问题。明确货品准入标准和候选品牌名单，确保区域公共品牌高起点谋划、高标准运营，实现品牌美誉度和竞争力的双提升。</w:t>
      </w:r>
    </w:p>
    <w:p w14:paraId="595FF6B1">
      <w:pPr>
        <w:spacing w:line="360" w:lineRule="auto"/>
        <w:ind w:firstLine="480" w:firstLineChars="200"/>
        <w:rPr>
          <w:rFonts w:ascii="宋体" w:hAnsi="宋体" w:eastAsia="宋体" w:cs="仿宋"/>
          <w:kern w:val="0"/>
          <w:sz w:val="24"/>
          <w:lang w:bidi="ar"/>
        </w:rPr>
      </w:pPr>
      <w:bookmarkStart w:id="30" w:name="_Hlk181305087"/>
      <w:r>
        <w:rPr>
          <w:rFonts w:hint="eastAsia" w:ascii="宋体" w:hAnsi="宋体" w:eastAsia="宋体" w:cs="仿宋"/>
          <w:kern w:val="0"/>
          <w:sz w:val="24"/>
          <w:lang w:val="zh-CN" w:bidi="zh-CN"/>
        </w:rPr>
        <w:t>（三）加强电子商务场地支撑。</w:t>
      </w:r>
      <w:bookmarkEnd w:id="30"/>
      <w:r>
        <w:rPr>
          <w:rFonts w:hint="eastAsia" w:ascii="宋体" w:hAnsi="宋体" w:eastAsia="宋体" w:cs="仿宋"/>
          <w:kern w:val="0"/>
          <w:sz w:val="24"/>
          <w:lang w:bidi="ar"/>
        </w:rPr>
        <w:t xml:space="preserve">统筹推进“一中心、多阵地、四播联动”功能布局，强化十堰北数字电商中心的服务功能，通过盘活闲置厂房与仓库，谋划建设电商科创中心功能区，以服务指导数字经济产业发展、人才培训为主要职能。深化推进郧阳直播中心的创新赋能功能区建设，专注于短视频直播电商领域，依靠人带人、人带货、销带产的运营管理方法，为主播提供前后端支持服务。优化郧阳电商服务中心工作效能，简化入驻流程，提供企业注册、法律咨询、财务代理、税务筹划等全方位服务，降低电商企业入驻门槛等，进一步优化公共服务、项目孵化、人才培育、渠道拓展及供应链整合等核心功能，发挥集聚作用。以谭家湾镇郧阳食用菌循环经济产业园、南化塘镇南化袜机生产设备制造产业园、鲍峡镇芸阳艺纺织综合产业园、白浪镇新型建材产业园、叶大乡诺佰克微生态健康产业园、城关镇万隆茶业生态示范园、谭家湾镇质佳农林产业生态养殖基地、梅铺镇董家台油茶种植基地等产业园、基地为依托，进一步完善场地基础设施和构建支撑服务体系，吸引具备良好运营团队和业绩突出的电子商务服务企业和平台运营企业入驻，打造功能齐备、集聚发展的电子商务产业载体。建设电商发展功能区，筛选、培育具有高成长性的企业，汇聚优质企业在郧阳落地生根。支持社会投资建设平台基地，增厚电商氛围，在集成特色产业的基础上，配套电商服务功能，提供直播场地、供应链对接等服务。 </w:t>
      </w:r>
    </w:p>
    <w:p w14:paraId="6A3782B9">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ar"/>
        </w:rPr>
        <w:t>（四）推动智慧云仓建设。在</w:t>
      </w:r>
      <w:r>
        <w:rPr>
          <w:rFonts w:hint="eastAsia" w:ascii="宋体" w:hAnsi="宋体" w:eastAsia="宋体" w:cs="仿宋"/>
          <w:kern w:val="0"/>
          <w:sz w:val="24"/>
          <w:lang w:bidi="zh-CN"/>
        </w:rPr>
        <w:t>十堰北数字电商中心精心打造郧阳区智慧云仓，为电商从业者提供专业的仓储管理和发货时效管控，全面补齐县域仓储短板。郧阳区智慧云仓</w:t>
      </w:r>
      <w:r>
        <w:rPr>
          <w:rFonts w:ascii="宋体" w:hAnsi="宋体" w:eastAsia="宋体" w:cs="仿宋"/>
          <w:kern w:val="0"/>
          <w:sz w:val="24"/>
          <w:lang w:bidi="zh-CN"/>
        </w:rPr>
        <w:t>部署自动化存储和分拣设备，如自动化立体仓库（AS/RS）、无人叉车、分拣机器人等，提高作业效率。引入物联网（IoT）技术，对仓库内温湿度、库存状态和设备运行进行实时监控，保障商品品质和设备稳定性。通过大数据和人工智能分析，实现需求预测、库存优化、动态补货。将多渠道订单（电商平台、自营渠道等）集中到云仓进行统一处理，提高订单响应速度和分拣效率。对接电商平台和物流公司，形成全链条协作模式，提升整体服务水平。推出定制化服务，如品牌包装、个性化订单处理，满足企业多样化需求。开放云仓资源，为中小企业提供低成本的仓储和物流服务。联合上下游供应链企业，共同打造透明、高效的供应链生态系统。</w:t>
      </w:r>
      <w:r>
        <w:rPr>
          <w:rFonts w:hint="eastAsia" w:ascii="宋体" w:hAnsi="宋体" w:eastAsia="宋体" w:cs="仿宋"/>
          <w:kern w:val="0"/>
          <w:sz w:val="24"/>
          <w:lang w:bidi="zh-CN"/>
        </w:rPr>
        <w:t>继续充分发挥“楚邮云仓”优势，</w:t>
      </w:r>
      <w:r>
        <w:rPr>
          <w:rFonts w:ascii="宋体" w:hAnsi="宋体" w:eastAsia="宋体" w:cs="仿宋"/>
          <w:kern w:val="0"/>
          <w:sz w:val="24"/>
          <w:lang w:bidi="zh-CN"/>
        </w:rPr>
        <w:t>提供仓配一体化的整体服务，</w:t>
      </w:r>
      <w:r>
        <w:rPr>
          <w:rFonts w:hint="eastAsia" w:ascii="宋体" w:hAnsi="宋体" w:eastAsia="宋体" w:cs="仿宋"/>
          <w:kern w:val="0"/>
          <w:sz w:val="24"/>
          <w:lang w:bidi="zh-CN"/>
        </w:rPr>
        <w:t>探索“产地直销、仓库代发”模式，拓展寄递客户，围绕袜业、针织等优势产业和香菇、泡菜、木耳等出货量大的特色农产品，在物流、发货等环节组织快递人员进乡镇、进园区、进车间，提供邮件打包、扫码、上车等服务，</w:t>
      </w:r>
      <w:r>
        <w:rPr>
          <w:rFonts w:ascii="宋体" w:hAnsi="宋体" w:eastAsia="宋体" w:cs="仿宋"/>
          <w:kern w:val="0"/>
          <w:sz w:val="24"/>
          <w:lang w:bidi="zh-CN"/>
        </w:rPr>
        <w:t>搭建农</w:t>
      </w:r>
      <w:r>
        <w:rPr>
          <w:rFonts w:hint="eastAsia" w:ascii="宋体" w:hAnsi="宋体" w:eastAsia="宋体" w:cs="仿宋"/>
          <w:kern w:val="0"/>
          <w:sz w:val="24"/>
          <w:lang w:bidi="zh-CN"/>
        </w:rPr>
        <w:t>特</w:t>
      </w:r>
      <w:r>
        <w:rPr>
          <w:rFonts w:ascii="宋体" w:hAnsi="宋体" w:eastAsia="宋体" w:cs="仿宋"/>
          <w:kern w:val="0"/>
          <w:sz w:val="24"/>
          <w:lang w:bidi="zh-CN"/>
        </w:rPr>
        <w:t>产品从“基地”到“</w:t>
      </w:r>
      <w:r>
        <w:rPr>
          <w:rFonts w:hint="eastAsia" w:ascii="宋体" w:hAnsi="宋体" w:eastAsia="宋体" w:cs="仿宋"/>
          <w:kern w:val="0"/>
          <w:sz w:val="24"/>
          <w:lang w:bidi="zh-CN"/>
        </w:rPr>
        <w:t>消费者</w:t>
      </w:r>
      <w:r>
        <w:rPr>
          <w:rFonts w:ascii="宋体" w:hAnsi="宋体" w:eastAsia="宋体" w:cs="仿宋"/>
          <w:kern w:val="0"/>
          <w:sz w:val="24"/>
          <w:lang w:bidi="zh-CN"/>
        </w:rPr>
        <w:t>”的直通车，有效降低企业的仓储、人员、打包、耗材、快递等各环节成本，提高企业经济效益。</w:t>
      </w:r>
    </w:p>
    <w:p w14:paraId="04598040">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（五）推进农村寄递物流体系建设。</w:t>
      </w:r>
      <w:r>
        <w:rPr>
          <w:rFonts w:hint="eastAsia" w:ascii="宋体" w:hAnsi="宋体" w:eastAsia="宋体" w:cs="仿宋"/>
          <w:kern w:val="0"/>
          <w:sz w:val="24"/>
          <w:lang w:bidi="ar"/>
        </w:rPr>
        <w:t>接续实施“快递下乡”“快递进村”等工程，贯彻落实“开放惠民、集约共享、安全高效、双向流通”的农村寄递物流体系建设，深入推动邮政快递网络服务下沉，拓展农村寄递“最后一公里”服务，畅通城乡经济循环。着力构建农村快递服务新模式，坚持因地制宜，坚持需求取向，坚持系统观念，坚持综合施策，加强设施、运力、信息、资本、技术资源融合，</w:t>
      </w:r>
      <w:r>
        <w:rPr>
          <w:rFonts w:ascii="宋体" w:hAnsi="宋体" w:eastAsia="宋体" w:cs="仿宋"/>
          <w:kern w:val="0"/>
          <w:sz w:val="24"/>
          <w:lang w:bidi="ar"/>
        </w:rPr>
        <w:t>发挥“邮政下乡”优势，大力推广“村邮站＋快递超市＋简易金融”模式，鼓励邮政、快递企业互相开放自提网点，</w:t>
      </w:r>
      <w:r>
        <w:rPr>
          <w:rFonts w:hint="eastAsia" w:ascii="宋体" w:hAnsi="宋体" w:eastAsia="宋体" w:cs="仿宋"/>
          <w:kern w:val="0"/>
          <w:sz w:val="24"/>
          <w:lang w:bidi="ar"/>
        </w:rPr>
        <w:t>推动企业主体责任落实。加强区乡村三级寄递物流体系全链条建设，完善村级服务站点建设“补链”、提高快递投递进村能力“锻链”、加强农村投递服务质量监管“稳链”、支持企业间合作共建“固链”、畅通农产品上行渠道“延链”等系统举措，</w:t>
      </w:r>
      <w:r>
        <w:rPr>
          <w:rFonts w:ascii="宋体" w:hAnsi="宋体" w:eastAsia="宋体" w:cs="仿宋"/>
          <w:kern w:val="0"/>
          <w:sz w:val="24"/>
          <w:lang w:bidi="ar"/>
        </w:rPr>
        <w:t>实现城乡客运、农村客运、邮政、电商、社会其他运输资源等运力合作，开展“定时发车、定点分拨、定线往返、统一运价、统一服务费、统一配送、统一</w:t>
      </w:r>
      <w:r>
        <w:rPr>
          <w:rFonts w:hint="eastAsia" w:ascii="宋体" w:hAnsi="宋体" w:eastAsia="宋体" w:cs="仿宋"/>
          <w:kern w:val="0"/>
          <w:sz w:val="24"/>
          <w:lang w:bidi="ar"/>
        </w:rPr>
        <w:t>奖励</w:t>
      </w:r>
      <w:r>
        <w:rPr>
          <w:rFonts w:ascii="宋体" w:hAnsi="宋体" w:eastAsia="宋体" w:cs="仿宋"/>
          <w:kern w:val="0"/>
          <w:sz w:val="24"/>
          <w:lang w:bidi="ar"/>
        </w:rPr>
        <w:t>”城乡双向物流配送模式</w:t>
      </w:r>
      <w:r>
        <w:rPr>
          <w:rFonts w:hint="eastAsia" w:ascii="宋体" w:hAnsi="宋体" w:eastAsia="宋体" w:cs="仿宋"/>
          <w:kern w:val="0"/>
          <w:sz w:val="24"/>
          <w:lang w:bidi="ar"/>
        </w:rPr>
        <w:t>，提升服务能力，坚持降低农村物流成本，巩固拓展脱贫攻坚成果，全面推进乡村振兴。</w:t>
      </w:r>
    </w:p>
    <w:p w14:paraId="057D06A0">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（六）持续筹办及参与展会活动。</w:t>
      </w:r>
      <w:r>
        <w:rPr>
          <w:rFonts w:hint="eastAsia" w:ascii="宋体" w:hAnsi="宋体" w:eastAsia="宋体" w:cs="仿宋"/>
          <w:kern w:val="0"/>
          <w:sz w:val="24"/>
          <w:lang w:bidi="ar"/>
        </w:rPr>
        <w:t>以聚产业、拓市场、拓渠道、旺人气为目的，持续开展“郧阳电商大会</w:t>
      </w:r>
      <w:r>
        <w:rPr>
          <w:rFonts w:ascii="宋体" w:hAnsi="宋体" w:eastAsia="宋体" w:cs="仿宋"/>
          <w:kern w:val="0"/>
          <w:sz w:val="24"/>
          <w:lang w:bidi="ar"/>
        </w:rPr>
        <w:t>”</w:t>
      </w:r>
      <w:r>
        <w:rPr>
          <w:rFonts w:hint="eastAsia" w:ascii="宋体" w:hAnsi="宋体" w:eastAsia="宋体" w:cs="仿宋"/>
          <w:kern w:val="0"/>
          <w:sz w:val="24"/>
          <w:lang w:bidi="ar"/>
        </w:rPr>
        <w:t>“郧阳电商直播大赛”</w:t>
      </w:r>
      <w:r>
        <w:rPr>
          <w:rFonts w:ascii="宋体" w:hAnsi="宋体" w:eastAsia="宋体" w:cs="仿宋"/>
          <w:kern w:val="0"/>
          <w:sz w:val="24"/>
          <w:lang w:bidi="ar"/>
        </w:rPr>
        <w:t>“</w:t>
      </w:r>
      <w:r>
        <w:rPr>
          <w:rFonts w:hint="eastAsia" w:ascii="宋体" w:hAnsi="宋体" w:eastAsia="宋体" w:cs="仿宋"/>
          <w:kern w:val="0"/>
          <w:sz w:val="24"/>
          <w:lang w:bidi="ar"/>
        </w:rPr>
        <w:t>郧阳优质农特产品进京暨精品旅游研学资源推介活动”“郧阳乡村文化旅游节”“郧阳茶旅文化节”“茶店镇樱桃草莓节”“梅铺镇红薯丰收节”“五峰乡油菜花节”“刘洞镇传统物资交流会”等一系列活动，谋划筹办“郧阳针纺服装文化节”“郧阳农特产品文化节”等系列展会，吸引全省乃至全国相关企业参会、参展，建立商业合作基础，力争与友好县区、供应链、平台基地、仓储物流、高等院校达成电商战略合作。</w:t>
      </w:r>
      <w:r>
        <w:rPr>
          <w:rFonts w:ascii="宋体" w:hAnsi="宋体" w:eastAsia="宋体" w:cs="仿宋"/>
          <w:kern w:val="0"/>
          <w:sz w:val="24"/>
          <w:lang w:bidi="ar"/>
        </w:rPr>
        <w:t>鼓励本地生产制造企业积极参与国内外知名会展，尤其鼓励参加中国进出口商品交易会（广交会）、中国国际工业博览会（工博会）、中国国际进口博览会（进博会）、中国华东进出口商品交易会（华交会）、中国义乌国际小商品博览会（义博会）</w:t>
      </w:r>
      <w:r>
        <w:rPr>
          <w:rFonts w:hint="eastAsia" w:ascii="宋体" w:hAnsi="宋体" w:eastAsia="宋体" w:cs="仿宋"/>
          <w:kern w:val="0"/>
          <w:sz w:val="24"/>
          <w:lang w:bidi="ar"/>
        </w:rPr>
        <w:t>、</w:t>
      </w:r>
      <w:r>
        <w:rPr>
          <w:rFonts w:ascii="宋体" w:hAnsi="宋体" w:eastAsia="宋体" w:cs="仿宋"/>
          <w:kern w:val="0"/>
          <w:sz w:val="24"/>
          <w:lang w:bidi="ar"/>
        </w:rPr>
        <w:t>中国（十堰）汽车汽配商品交易会</w:t>
      </w:r>
      <w:r>
        <w:rPr>
          <w:rFonts w:hint="eastAsia" w:ascii="宋体" w:hAnsi="宋体" w:eastAsia="宋体" w:cs="仿宋"/>
          <w:kern w:val="0"/>
          <w:sz w:val="24"/>
          <w:lang w:bidi="ar"/>
        </w:rPr>
        <w:t>、上海国际袜业采购交易会（上海袜交会</w:t>
      </w:r>
      <w:r>
        <w:rPr>
          <w:rFonts w:ascii="Times New Roman" w:hAnsi="Times New Roman" w:eastAsia="宋体" w:cs="Times New Roman"/>
          <w:kern w:val="0"/>
          <w:sz w:val="24"/>
          <w:lang w:bidi="ar"/>
        </w:rPr>
        <w:t>CHPE</w:t>
      </w:r>
      <w:r>
        <w:rPr>
          <w:rFonts w:hint="eastAsia" w:ascii="宋体" w:hAnsi="宋体" w:eastAsia="宋体" w:cs="仿宋"/>
          <w:kern w:val="0"/>
          <w:sz w:val="24"/>
          <w:lang w:bidi="ar"/>
        </w:rPr>
        <w:t>）、</w:t>
      </w:r>
      <w:r>
        <w:rPr>
          <w:rFonts w:ascii="宋体" w:hAnsi="宋体" w:eastAsia="宋体" w:cs="仿宋"/>
          <w:kern w:val="0"/>
          <w:sz w:val="24"/>
          <w:lang w:bidi="ar"/>
        </w:rPr>
        <w:t>武汉国际电子商务暨数字贸易博览会、全球跨境电商峰会</w:t>
      </w:r>
      <w:r>
        <w:rPr>
          <w:rFonts w:hint="eastAsia" w:ascii="宋体" w:hAnsi="宋体" w:eastAsia="宋体" w:cs="仿宋"/>
          <w:kern w:val="0"/>
          <w:sz w:val="24"/>
          <w:lang w:bidi="ar"/>
        </w:rPr>
        <w:t>、</w:t>
      </w:r>
      <w:r>
        <w:rPr>
          <w:rFonts w:ascii="宋体" w:hAnsi="宋体" w:eastAsia="宋体" w:cs="仿宋"/>
          <w:kern w:val="0"/>
          <w:sz w:val="24"/>
          <w:lang w:bidi="ar"/>
        </w:rPr>
        <w:t>十堰消费扶贫年货节暨秦巴片区农特产品交易博览会等国内辐射范围广、国际化程度高的商品展览会，提升本地品牌知名度同时拓展销路。</w:t>
      </w:r>
    </w:p>
    <w:p w14:paraId="7DDD8BE0">
      <w:pPr>
        <w:pStyle w:val="3"/>
        <w:rPr>
          <w:rFonts w:asciiTheme="minorEastAsia" w:hAnsiTheme="minorEastAsia" w:eastAsiaTheme="minorEastAsia"/>
          <w:sz w:val="28"/>
          <w:szCs w:val="28"/>
        </w:rPr>
      </w:pPr>
      <w:bookmarkStart w:id="31" w:name="_Toc181666865"/>
      <w:bookmarkStart w:id="32" w:name="_Toc183083279"/>
      <w:r>
        <w:rPr>
          <w:rFonts w:hint="eastAsia" w:asciiTheme="minorEastAsia" w:hAnsiTheme="minorEastAsia" w:eastAsiaTheme="minorEastAsia"/>
          <w:sz w:val="28"/>
          <w:szCs w:val="28"/>
        </w:rPr>
        <w:t>二、优化公共服务体系</w:t>
      </w:r>
      <w:bookmarkEnd w:id="31"/>
      <w:bookmarkEnd w:id="32"/>
    </w:p>
    <w:p w14:paraId="236B3BA8">
      <w:pPr>
        <w:adjustRightInd w:val="0"/>
        <w:spacing w:line="360" w:lineRule="auto"/>
        <w:ind w:firstLine="480" w:firstLineChars="200"/>
        <w:rPr>
          <w:rFonts w:ascii="宋体" w:hAnsi="宋体" w:eastAsia="宋体" w:cs="仿宋"/>
          <w:kern w:val="0"/>
          <w:sz w:val="24"/>
          <w:lang w:bidi="ar"/>
        </w:rPr>
      </w:pPr>
      <w:r>
        <w:rPr>
          <w:rFonts w:ascii="宋体" w:hAnsi="宋体" w:eastAsia="宋体" w:cs="仿宋"/>
          <w:kern w:val="0"/>
          <w:sz w:val="24"/>
          <w:lang w:bidi="ar"/>
        </w:rPr>
        <w:t>电子商务公共服务发展水平已成为一个地区电子商务核心竞争力的重要体现。进一步建立完善高效、便利、统一的公共服务体系，有利于解决</w:t>
      </w:r>
      <w:r>
        <w:rPr>
          <w:rFonts w:hint="eastAsia" w:ascii="宋体" w:hAnsi="宋体" w:eastAsia="宋体" w:cs="仿宋"/>
          <w:kern w:val="0"/>
          <w:sz w:val="24"/>
          <w:lang w:bidi="ar"/>
        </w:rPr>
        <w:t>郧阳区</w:t>
      </w:r>
      <w:r>
        <w:rPr>
          <w:rFonts w:ascii="宋体" w:hAnsi="宋体" w:eastAsia="宋体" w:cs="仿宋"/>
          <w:kern w:val="0"/>
          <w:sz w:val="24"/>
          <w:lang w:bidi="ar"/>
        </w:rPr>
        <w:t>传统企业电子商务发展过程中的制约和瓶颈，优化电商服务业结构，推动服务模式创新。</w:t>
      </w:r>
    </w:p>
    <w:p w14:paraId="2C8422C4">
      <w:pPr>
        <w:adjustRightInd w:val="0"/>
        <w:spacing w:line="360" w:lineRule="auto"/>
        <w:ind w:firstLine="482" w:firstLineChars="200"/>
        <w:rPr>
          <w:rFonts w:ascii="宋体" w:hAnsi="宋体" w:eastAsia="宋体" w:cs="仿宋"/>
          <w:sz w:val="24"/>
          <w:lang w:bidi="ar"/>
        </w:rPr>
      </w:pPr>
      <w:r>
        <w:rPr>
          <w:rFonts w:hint="eastAsia" w:ascii="宋体" w:hAnsi="宋体" w:eastAsia="宋体" w:cs="仿宋"/>
          <w:b/>
          <w:sz w:val="24"/>
          <w:lang w:bidi="ar"/>
        </w:rPr>
        <w:t>（一）完善电子商务公共服务。</w:t>
      </w:r>
      <w:r>
        <w:rPr>
          <w:rFonts w:hint="eastAsia" w:ascii="宋体" w:hAnsi="宋体" w:eastAsia="宋体" w:cs="仿宋"/>
          <w:sz w:val="24"/>
          <w:lang w:bidi="ar"/>
        </w:rPr>
        <w:t>将十堰北数字电商中心建设为以公益为主、市场为辅的电子商务公共服务平台，整合电商资源，吸纳工商、统计、税务、商务、质监、食品药品、安全等行政管理信息，提供面向政府、企业及消费者多层面的信息发布、产销对接、技术服务、人才培训、信用管理等综合服务，打造集生产、经营、消费为一体的统一、开放、共享、共赢的“大数据、大整合、大服务”综合服务平台，</w:t>
      </w:r>
      <w:r>
        <w:rPr>
          <w:rFonts w:ascii="宋体" w:hAnsi="宋体" w:eastAsia="宋体" w:cs="仿宋"/>
          <w:sz w:val="24"/>
          <w:lang w:bidi="ar"/>
        </w:rPr>
        <w:t>整合各类行业信息，提供市场分析和研究报告，帮助企业制定战略决策</w:t>
      </w:r>
      <w:r>
        <w:rPr>
          <w:rFonts w:hint="eastAsia" w:ascii="宋体" w:hAnsi="宋体" w:eastAsia="宋体" w:cs="仿宋"/>
          <w:sz w:val="24"/>
          <w:lang w:bidi="ar"/>
        </w:rPr>
        <w:t>，</w:t>
      </w:r>
      <w:r>
        <w:rPr>
          <w:rFonts w:ascii="宋体" w:hAnsi="宋体" w:eastAsia="宋体" w:cs="仿宋"/>
          <w:sz w:val="24"/>
          <w:lang w:bidi="ar"/>
        </w:rPr>
        <w:t>为电商企业提供一站式解决方案。通过平台整合各类资源，形成信息互通、资源共享的电商生态体系</w:t>
      </w:r>
      <w:r>
        <w:rPr>
          <w:rFonts w:hint="eastAsia" w:ascii="宋体" w:hAnsi="宋体" w:eastAsia="宋体" w:cs="仿宋"/>
          <w:sz w:val="24"/>
          <w:lang w:bidi="ar"/>
        </w:rPr>
        <w:t>，推动全区电子商务的快速发展。</w:t>
      </w:r>
    </w:p>
    <w:p w14:paraId="0E630699">
      <w:pPr>
        <w:adjustRightInd w:val="0"/>
        <w:spacing w:line="360" w:lineRule="auto"/>
        <w:ind w:firstLine="482" w:firstLineChars="200"/>
        <w:rPr>
          <w:rFonts w:ascii="宋体" w:hAnsi="宋体" w:eastAsia="宋体" w:cs="仿宋"/>
          <w:sz w:val="24"/>
          <w:lang w:bidi="ar"/>
        </w:rPr>
      </w:pPr>
      <w:r>
        <w:rPr>
          <w:rFonts w:hint="eastAsia" w:ascii="宋体" w:hAnsi="宋体" w:eastAsia="宋体" w:cs="仿宋"/>
          <w:b/>
          <w:sz w:val="24"/>
          <w:lang w:bidi="ar"/>
        </w:rPr>
        <w:t>（二）强化电商特色行业服务。</w:t>
      </w:r>
      <w:r>
        <w:rPr>
          <w:rFonts w:hint="eastAsia" w:ascii="宋体" w:hAnsi="宋体" w:eastAsia="宋体" w:cs="仿宋"/>
          <w:sz w:val="24"/>
          <w:lang w:bidi="ar"/>
        </w:rPr>
        <w:t>采取企业主导、市场化经营、政府支持的方式，鼓励</w:t>
      </w:r>
      <w:r>
        <w:rPr>
          <w:rFonts w:hint="eastAsia" w:ascii="宋体" w:hAnsi="宋体" w:eastAsia="宋体" w:cs="仿宋"/>
          <w:bCs/>
          <w:sz w:val="24"/>
          <w:lang w:bidi="ar"/>
        </w:rPr>
        <w:t>香菇</w:t>
      </w:r>
      <w:r>
        <w:rPr>
          <w:rFonts w:hint="eastAsia" w:ascii="宋体" w:hAnsi="宋体" w:eastAsia="宋体" w:cs="仿宋"/>
          <w:sz w:val="24"/>
          <w:lang w:bidi="ar"/>
        </w:rPr>
        <w:t>、袜业、油橄榄、</w:t>
      </w:r>
      <w:r>
        <w:rPr>
          <w:rFonts w:hint="eastAsia" w:ascii="宋体" w:hAnsi="宋体" w:eastAsia="宋体"/>
          <w:sz w:val="24"/>
        </w:rPr>
        <w:t>新能源和智能网联汽车、新材料、生物科技</w:t>
      </w:r>
      <w:r>
        <w:rPr>
          <w:rFonts w:hint="eastAsia" w:ascii="宋体" w:hAnsi="宋体" w:eastAsia="宋体" w:cs="仿宋"/>
          <w:sz w:val="24"/>
          <w:lang w:bidi="ar"/>
        </w:rPr>
        <w:t>等特色行业和骨干企业，深入挖掘行业特点，积极建设具备信息、交易、物流、支付、信用等全链条功能的特色行业电子商务垂直平台。培育一批在郧阳区有较大影响力的行业服务平台，</w:t>
      </w:r>
      <w:r>
        <w:rPr>
          <w:rFonts w:ascii="Segoe UI" w:hAnsi="Segoe UI" w:eastAsia="宋体" w:cs="Segoe UI"/>
          <w:kern w:val="0"/>
          <w:sz w:val="24"/>
        </w:rPr>
        <w:t>深入了解目标行业的特点、痛点和需求</w:t>
      </w:r>
      <w:r>
        <w:rPr>
          <w:rFonts w:hint="eastAsia" w:ascii="Segoe UI" w:hAnsi="Segoe UI" w:eastAsia="宋体" w:cs="Segoe UI"/>
          <w:kern w:val="0"/>
          <w:sz w:val="24"/>
        </w:rPr>
        <w:t>，</w:t>
      </w:r>
      <w:r>
        <w:rPr>
          <w:rFonts w:hint="eastAsia" w:ascii="宋体" w:hAnsi="宋体" w:eastAsia="宋体" w:cs="仿宋"/>
          <w:sz w:val="24"/>
          <w:lang w:bidi="ar"/>
        </w:rPr>
        <w:t>提高本区特色产业的核心竞争力和市场影响力。</w:t>
      </w:r>
    </w:p>
    <w:p w14:paraId="55C01011">
      <w:pPr>
        <w:adjustRightInd w:val="0"/>
        <w:spacing w:line="360" w:lineRule="auto"/>
        <w:ind w:firstLine="482" w:firstLineChars="200"/>
        <w:rPr>
          <w:rFonts w:ascii="宋体" w:hAnsi="宋体" w:eastAsia="宋体" w:cs="仿宋"/>
          <w:sz w:val="24"/>
          <w:lang w:bidi="ar"/>
        </w:rPr>
      </w:pPr>
      <w:r>
        <w:rPr>
          <w:rFonts w:hint="eastAsia" w:ascii="宋体" w:hAnsi="宋体" w:eastAsia="宋体" w:cs="仿宋"/>
          <w:b/>
          <w:sz w:val="24"/>
          <w:lang w:bidi="ar"/>
        </w:rPr>
        <w:t>（三）推进电子商务运营服务。</w:t>
      </w:r>
      <w:r>
        <w:rPr>
          <w:rFonts w:hint="eastAsia" w:ascii="宋体" w:hAnsi="宋体" w:eastAsia="宋体" w:cs="仿宋"/>
          <w:sz w:val="24"/>
          <w:lang w:bidi="ar"/>
        </w:rPr>
        <w:t>引进专业整合式电子商务代运营企业，为缺乏电子商务人才或技术能力的传统企业提供一站式电子商务外包服务，包括电子商务平台设计与建设、电子商务网站推广、电子商务营销策划、电子商务运营托管、物流订单管理等。鼓励有条件的本土电子商务服务企业向电子商务代运营服务延伸，</w:t>
      </w:r>
      <w:r>
        <w:rPr>
          <w:rFonts w:ascii="宋体" w:hAnsi="宋体" w:eastAsia="宋体" w:cs="仿宋"/>
          <w:sz w:val="24"/>
          <w:lang w:bidi="ar"/>
        </w:rPr>
        <w:t>对本地电子商务产业进行深入调研，了解当前的发展状况、市场需求、竞争态势等</w:t>
      </w:r>
      <w:r>
        <w:rPr>
          <w:rFonts w:hint="eastAsia" w:ascii="宋体" w:hAnsi="宋体" w:eastAsia="宋体" w:cs="仿宋"/>
          <w:sz w:val="24"/>
          <w:lang w:bidi="ar"/>
        </w:rPr>
        <w:t>，</w:t>
      </w:r>
      <w:r>
        <w:rPr>
          <w:rFonts w:ascii="宋体" w:hAnsi="宋体" w:eastAsia="宋体" w:cs="仿宋"/>
          <w:sz w:val="24"/>
          <w:lang w:bidi="ar"/>
        </w:rPr>
        <w:t>分析本地特色资源和优势产业，明确电子商务运营服务体系的定位和发展方向</w:t>
      </w:r>
      <w:r>
        <w:rPr>
          <w:rFonts w:hint="eastAsia" w:ascii="宋体" w:hAnsi="宋体" w:eastAsia="宋体" w:cs="仿宋"/>
          <w:sz w:val="24"/>
          <w:lang w:bidi="ar"/>
        </w:rPr>
        <w:t>，为其他企业提供一条龙电子商务运营服务。鼓励全区工业、商业、农业以及物流企业加强对外合作，拓展业务领域，扩大业务范围，进而形成全区内外网络交易服务平台有效衔接、不同部门和行业特色平台协调发展的格局。</w:t>
      </w:r>
    </w:p>
    <w:p w14:paraId="197EA8A6">
      <w:pPr>
        <w:adjustRightInd w:val="0"/>
        <w:spacing w:line="360" w:lineRule="auto"/>
        <w:ind w:firstLine="482" w:firstLineChars="200"/>
        <w:rPr>
          <w:rFonts w:ascii="宋体" w:hAnsi="宋体" w:eastAsia="宋体" w:cs="仿宋"/>
          <w:sz w:val="24"/>
          <w:lang w:bidi="ar"/>
        </w:rPr>
      </w:pPr>
      <w:r>
        <w:rPr>
          <w:rFonts w:hint="eastAsia" w:ascii="宋体" w:hAnsi="宋体" w:eastAsia="宋体" w:cs="仿宋"/>
          <w:b/>
          <w:sz w:val="24"/>
          <w:lang w:bidi="ar"/>
        </w:rPr>
        <w:t>（四）提供电商共性技术服务。</w:t>
      </w:r>
      <w:r>
        <w:rPr>
          <w:rFonts w:hint="eastAsia" w:ascii="宋体" w:hAnsi="宋体" w:eastAsia="宋体" w:cs="仿宋"/>
          <w:sz w:val="24"/>
          <w:lang w:bidi="ar"/>
        </w:rPr>
        <w:t>积极引进和培育软件和信息服务企业，鼓励其向电子商务服务延伸，为应用企业提供面向电子商务的软硬件、系统集成方案及相关服务、网站建设优化等技术解决方案。加大技术研发投入,着力针对大数据、人工智能等共性技术进行研发与应用，提升平台的智能化水平，建立技术共享机制，鼓励</w:t>
      </w:r>
      <w:r>
        <w:rPr>
          <w:rFonts w:hint="eastAsia" w:ascii="宋体" w:hAnsi="宋体" w:eastAsia="宋体" w:cs="仿宋"/>
          <w:color w:val="000000" w:themeColor="text1"/>
          <w:sz w:val="24"/>
          <w:lang w:bidi="ar"/>
          <w14:textFill>
            <w14:solidFill>
              <w14:schemeClr w14:val="tx1"/>
            </w14:solidFill>
          </w14:textFill>
        </w:rPr>
        <w:t>骨干企业</w:t>
      </w:r>
      <w:r>
        <w:rPr>
          <w:rFonts w:hint="eastAsia" w:ascii="宋体" w:hAnsi="宋体" w:eastAsia="宋体" w:cs="仿宋"/>
          <w:sz w:val="24"/>
          <w:lang w:bidi="ar"/>
        </w:rPr>
        <w:t>共享技术成果和经验，促进技术创新和产业升级。建立与高校、科研机构的合作关系，共同开展技术创新，加强物联网、信息技术、人工智能等在电子商务方面的创新应用，为中小电子商务企业提供个性化平台开发、信息处理、数据托管、应用系统和软件运营等外包服务。培育和引进市场研究机构，为应用企业提供资讯产品、交易等基础数据挖掘、处理、分析服务。强化和完善电子商务技术创新的组织管理体系，建立有利于电子商务技术创新成果转化的有效运行机制，形成符合市场经济规律的电子商务技术创新运行激励机制。</w:t>
      </w:r>
    </w:p>
    <w:p w14:paraId="229DFB96">
      <w:pPr>
        <w:adjustRightInd w:val="0"/>
        <w:spacing w:line="360" w:lineRule="auto"/>
        <w:ind w:firstLine="482" w:firstLineChars="200"/>
        <w:rPr>
          <w:rFonts w:ascii="宋体" w:hAnsi="宋体" w:eastAsia="宋体" w:cs="仿宋"/>
          <w:sz w:val="24"/>
          <w:lang w:bidi="ar"/>
        </w:rPr>
      </w:pPr>
      <w:r>
        <w:rPr>
          <w:rFonts w:hint="eastAsia" w:ascii="宋体" w:hAnsi="宋体" w:eastAsia="宋体" w:cs="仿宋"/>
          <w:b/>
          <w:sz w:val="24"/>
          <w:lang w:bidi="ar"/>
        </w:rPr>
        <w:t>（五）优化电子商务金融服务。</w:t>
      </w:r>
      <w:r>
        <w:rPr>
          <w:rFonts w:hint="eastAsia" w:ascii="宋体" w:hAnsi="宋体" w:eastAsia="宋体" w:cs="仿宋"/>
          <w:sz w:val="24"/>
          <w:lang w:bidi="ar"/>
        </w:rPr>
        <w:t>鼓励和支持银行、小额信贷机构等拓展电子商务服务业务，创新金融服务体系，优化金融生态环境，开展面向电子商务的金融服务，扩大</w:t>
      </w:r>
      <w:r>
        <w:rPr>
          <w:rFonts w:ascii="宋体" w:hAnsi="宋体" w:eastAsia="宋体" w:cs="仿宋"/>
          <w:sz w:val="24"/>
          <w:lang w:bidi="ar"/>
        </w:rPr>
        <w:t>“郧阳惠农贷”“香菇农担贷”“创业贴息贷”“油橄榄贷”“兴农贷”“惠商贷”“新农快贷”“绿色农担贷”“农e贷”等多样产业贷信贷产品</w:t>
      </w:r>
      <w:r>
        <w:rPr>
          <w:rFonts w:hint="eastAsia" w:ascii="宋体" w:hAnsi="宋体" w:eastAsia="宋体" w:cs="仿宋"/>
          <w:sz w:val="24"/>
          <w:lang w:bidi="ar"/>
        </w:rPr>
        <w:t>的受益面，解决中小微企业在电子商务业务过程中的突发性、小型金融融资需求。鼓励金融机构依托</w:t>
      </w:r>
      <w:r>
        <w:rPr>
          <w:rFonts w:ascii="宋体" w:hAnsi="宋体" w:eastAsia="宋体" w:cs="仿宋"/>
          <w:sz w:val="24"/>
          <w:lang w:bidi="ar"/>
        </w:rPr>
        <w:t>电商企业的</w:t>
      </w:r>
      <w:r>
        <w:rPr>
          <w:rFonts w:hint="eastAsia" w:ascii="宋体" w:hAnsi="宋体" w:eastAsia="宋体" w:cs="仿宋"/>
          <w:sz w:val="24"/>
          <w:lang w:bidi="ar"/>
        </w:rPr>
        <w:t>应收账款、存货、仓单、订单、保单等</w:t>
      </w:r>
      <w:r>
        <w:rPr>
          <w:rFonts w:ascii="宋体" w:hAnsi="宋体" w:eastAsia="宋体" w:cs="仿宋"/>
          <w:sz w:val="24"/>
          <w:lang w:bidi="ar"/>
        </w:rPr>
        <w:t>等数据，开发基于大数据分析的“电商流水贷”</w:t>
      </w:r>
      <w:r>
        <w:rPr>
          <w:rFonts w:hint="eastAsia" w:ascii="宋体" w:hAnsi="宋体" w:eastAsia="宋体" w:cs="仿宋"/>
          <w:sz w:val="24"/>
          <w:lang w:bidi="ar"/>
        </w:rPr>
        <w:t>“电商订单贷”</w:t>
      </w:r>
      <w:r>
        <w:rPr>
          <w:rFonts w:ascii="宋体" w:hAnsi="宋体" w:eastAsia="宋体" w:cs="仿宋"/>
          <w:sz w:val="24"/>
          <w:lang w:bidi="ar"/>
        </w:rPr>
        <w:t>等特色金融产品，</w:t>
      </w:r>
      <w:r>
        <w:rPr>
          <w:rFonts w:hint="eastAsia" w:ascii="宋体" w:hAnsi="宋体" w:eastAsia="宋体" w:cs="仿宋"/>
          <w:sz w:val="24"/>
          <w:lang w:bidi="ar"/>
        </w:rPr>
        <w:t>为电商业户简化手续，解决“融资难”“担保难”的问题，</w:t>
      </w:r>
      <w:r>
        <w:rPr>
          <w:rFonts w:ascii="宋体" w:hAnsi="宋体" w:eastAsia="宋体" w:cs="仿宋"/>
          <w:sz w:val="24"/>
          <w:lang w:bidi="ar"/>
        </w:rPr>
        <w:t>降低企业的贷款门槛和融资成本。</w:t>
      </w:r>
      <w:r>
        <w:rPr>
          <w:rFonts w:hint="eastAsia" w:ascii="宋体" w:hAnsi="宋体" w:eastAsia="宋体" w:cs="仿宋"/>
          <w:sz w:val="24"/>
          <w:lang w:bidi="ar"/>
        </w:rPr>
        <w:t>鼓励供应链核心企业加强对上下游中小企业的信用赋能，协同金融机构开发适应业务场景需要的金融产品和服务。开展银企对接活动，主动征集企业融资需求，积极整合各类金融资源，搭建平台、主动服务，助力企业持续健康发展。</w:t>
      </w:r>
      <w:r>
        <w:rPr>
          <w:rFonts w:ascii="Segoe UI" w:hAnsi="Segoe UI" w:eastAsia="宋体" w:cs="Segoe UI"/>
          <w:kern w:val="0"/>
          <w:sz w:val="24"/>
        </w:rPr>
        <w:t>政</w:t>
      </w:r>
      <w:r>
        <w:rPr>
          <w:rFonts w:ascii="Segoe UI" w:hAnsi="Segoe UI" w:eastAsia="宋体" w:cs="Segoe UI"/>
          <w:color w:val="000000" w:themeColor="text1"/>
          <w:kern w:val="0"/>
          <w:sz w:val="24"/>
          <w14:textFill>
            <w14:solidFill>
              <w14:schemeClr w14:val="tx1"/>
            </w14:solidFill>
          </w14:textFill>
        </w:rPr>
        <w:t>府设</w:t>
      </w:r>
      <w:r>
        <w:rPr>
          <w:rFonts w:ascii="宋体" w:hAnsi="宋体" w:eastAsia="宋体" w:cs="仿宋"/>
          <w:color w:val="000000" w:themeColor="text1"/>
          <w:sz w:val="24"/>
          <w:lang w:bidi="ar"/>
          <w14:textFill>
            <w14:solidFill>
              <w14:schemeClr w14:val="tx1"/>
            </w14:solidFill>
          </w14:textFill>
        </w:rPr>
        <w:t>立风险补偿基金</w:t>
      </w:r>
      <w:r>
        <w:rPr>
          <w:rFonts w:ascii="宋体" w:hAnsi="宋体" w:eastAsia="宋体" w:cs="仿宋"/>
          <w:sz w:val="24"/>
          <w:lang w:bidi="ar"/>
        </w:rPr>
        <w:t>，对金融机构为电商企业提供贷款所产生的风险进行补偿。</w:t>
      </w:r>
      <w:r>
        <w:rPr>
          <w:rFonts w:hint="eastAsia" w:ascii="宋体" w:hAnsi="宋体" w:eastAsia="宋体" w:cs="仿宋"/>
          <w:sz w:val="24"/>
          <w:lang w:val="en-US" w:eastAsia="zh-CN" w:bidi="ar"/>
        </w:rPr>
        <w:t>增强信达</w:t>
      </w:r>
      <w:r>
        <w:rPr>
          <w:rFonts w:ascii="宋体" w:hAnsi="宋体" w:eastAsia="宋体" w:cs="仿宋"/>
          <w:color w:val="000000" w:themeColor="text1"/>
          <w:sz w:val="24"/>
          <w:lang w:bidi="ar"/>
          <w14:textFill>
            <w14:solidFill>
              <w14:schemeClr w14:val="tx1"/>
            </w14:solidFill>
          </w14:textFill>
        </w:rPr>
        <w:t>担保公司</w:t>
      </w:r>
      <w:r>
        <w:rPr>
          <w:rFonts w:hint="eastAsia" w:ascii="宋体" w:hAnsi="宋体" w:eastAsia="宋体" w:cs="仿宋"/>
          <w:color w:val="000000" w:themeColor="text1"/>
          <w:sz w:val="24"/>
          <w:lang w:val="en-US" w:eastAsia="zh-CN" w:bidi="ar"/>
          <w14:textFill>
            <w14:solidFill>
              <w14:schemeClr w14:val="tx1"/>
            </w14:solidFill>
          </w14:textFill>
        </w:rPr>
        <w:t>职能</w:t>
      </w:r>
      <w:r>
        <w:rPr>
          <w:rFonts w:ascii="宋体" w:hAnsi="宋体" w:eastAsia="宋体" w:cs="仿宋"/>
          <w:sz w:val="24"/>
          <w:lang w:bidi="ar"/>
        </w:rPr>
        <w:t>，</w:t>
      </w:r>
      <w:r>
        <w:rPr>
          <w:rFonts w:hint="eastAsia" w:ascii="宋体" w:hAnsi="宋体" w:eastAsia="宋体" w:cs="仿宋"/>
          <w:sz w:val="24"/>
          <w:lang w:bidi="ar"/>
        </w:rPr>
        <w:t>畅通银担合作渠道，</w:t>
      </w:r>
      <w:r>
        <w:rPr>
          <w:rFonts w:ascii="宋体" w:hAnsi="宋体" w:eastAsia="宋体" w:cs="仿宋"/>
          <w:sz w:val="24"/>
          <w:lang w:bidi="ar"/>
        </w:rPr>
        <w:t>为电商企业提供融资担保服务</w:t>
      </w:r>
      <w:r>
        <w:rPr>
          <w:rFonts w:hint="eastAsia" w:ascii="宋体" w:hAnsi="宋体" w:eastAsia="宋体" w:cs="仿宋"/>
          <w:sz w:val="24"/>
          <w:lang w:bidi="ar"/>
        </w:rPr>
        <w:t>，降低担保和再担保费率，减少企业担保费支出。引进各类风投创投机构参与区电子商务领域的投融资服务，推动有条件的电子商务企业对接资本市场。</w:t>
      </w:r>
      <w:r>
        <w:rPr>
          <w:rFonts w:ascii="宋体" w:hAnsi="宋体" w:eastAsia="宋体" w:cs="仿宋"/>
          <w:sz w:val="24"/>
          <w:lang w:bidi="ar"/>
        </w:rPr>
        <w:t>政府设立电商发展专项基金，用于支持电商企业的创新发展、技术升级、人才培养等。</w:t>
      </w:r>
    </w:p>
    <w:p w14:paraId="5C7AEA04">
      <w:pPr>
        <w:pStyle w:val="3"/>
        <w:rPr>
          <w:rFonts w:asciiTheme="minorEastAsia" w:hAnsiTheme="minorEastAsia" w:eastAsiaTheme="minorEastAsia"/>
          <w:sz w:val="28"/>
          <w:szCs w:val="28"/>
        </w:rPr>
      </w:pPr>
      <w:bookmarkStart w:id="33" w:name="_Toc181666866"/>
      <w:bookmarkStart w:id="34" w:name="_Toc183083280"/>
      <w:r>
        <w:rPr>
          <w:rFonts w:hint="eastAsia" w:asciiTheme="minorEastAsia" w:hAnsiTheme="minorEastAsia" w:eastAsiaTheme="minorEastAsia"/>
          <w:sz w:val="28"/>
          <w:szCs w:val="28"/>
        </w:rPr>
        <w:t>三、促进电商三产融合</w:t>
      </w:r>
      <w:bookmarkEnd w:id="33"/>
      <w:bookmarkEnd w:id="34"/>
    </w:p>
    <w:p w14:paraId="4952DDF2">
      <w:pPr>
        <w:widowControl/>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结合郧阳</w:t>
      </w:r>
      <w:r>
        <w:rPr>
          <w:rFonts w:hint="eastAsia" w:ascii="宋体" w:hAnsi="宋体" w:eastAsia="宋体" w:cs="仿宋"/>
          <w:kern w:val="0"/>
          <w:sz w:val="24"/>
          <w:lang w:val="en-US" w:eastAsia="zh-CN" w:bidi="ar"/>
        </w:rPr>
        <w:t>区</w:t>
      </w:r>
      <w:r>
        <w:rPr>
          <w:rFonts w:hint="eastAsia" w:ascii="宋体" w:hAnsi="宋体" w:eastAsia="宋体" w:cs="仿宋"/>
          <w:kern w:val="0"/>
          <w:sz w:val="24"/>
          <w:lang w:bidi="ar"/>
        </w:rPr>
        <w:t>“一核引领，两翼齐飞，三镇辐射，多点发力”的电商产业发展空间布局，突出新能源和智能网联汽车、新材料、生物科技、文旅康养等“一主三优多支撑”产业优势，推进电商与优势产业融合发展。</w:t>
      </w:r>
    </w:p>
    <w:p w14:paraId="7C908106">
      <w:pPr>
        <w:widowControl/>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（一）加快优势产业电商普及。一是</w:t>
      </w:r>
      <w:r>
        <w:rPr>
          <w:rFonts w:hint="eastAsia" w:ascii="宋体" w:hAnsi="宋体" w:eastAsia="宋体" w:cs="仿宋"/>
          <w:kern w:val="0"/>
          <w:sz w:val="24"/>
          <w:lang w:bidi="ar"/>
        </w:rPr>
        <w:t>强壮新能源和智能网联汽车电商产业链。围绕“强链、补链、延链”目标，依托工业物联网、人工智能等新一代信息技术，提高制造企业与销售公司、消费者之间的匹配程度，推进湖北万润新能源科技股份有限公司、湖北大运汽车有限公司、神河汽车有限公司、湖北伟士通汽车零件有限公司、世泰仕塑料有限公司等相关零配件企业电子商务发展。二是打造新材料电商产业链。依托鑫阳半导体新材料研究院高纯石英砂关键技术，开发适销对路的网络销售产品；加强与西安科技大学、江苏协鑫、西安博尔特等研究机构和行业龙头企业合作,培育硅、镁、钙等新材料产业，同时加大与成熟电商平台合作力度，拓展产品网销渠道。三是扩展生物科技电商产业链。支持新峰药业、宏康药业、天圣药业等生物技术企业，深层次研发衍生医药保健产品（功能性胶囊、饮料、注射剂等），拓展生物医药网销产品品类。四是做优做特文旅电商产业。</w:t>
      </w:r>
      <w:bookmarkStart w:id="35" w:name="_Hlk181314923"/>
      <w:r>
        <w:rPr>
          <w:rFonts w:hint="eastAsia" w:ascii="宋体" w:hAnsi="宋体" w:eastAsia="宋体" w:cs="仿宋"/>
          <w:kern w:val="0"/>
          <w:sz w:val="24"/>
          <w:lang w:bidi="ar"/>
        </w:rPr>
        <w:t>以创建环郧阳湖5A级景区、沧浪山国家森林公园4A级景区等为牵引,</w:t>
      </w:r>
      <w:bookmarkEnd w:id="35"/>
      <w:r>
        <w:rPr>
          <w:rFonts w:hint="eastAsia" w:ascii="宋体" w:hAnsi="宋体" w:eastAsia="宋体" w:cs="仿宋"/>
          <w:kern w:val="0"/>
          <w:sz w:val="24"/>
          <w:lang w:bidi="ar"/>
        </w:rPr>
        <w:t>优化旅游资源,利用大数据支撑，对游客消费需求进行分析，开展网络跨界营销工作，进行与医疗、娱乐、影视、艺术等行业跨界合作，开拓文旅康养产业市场新空间。</w:t>
      </w:r>
    </w:p>
    <w:p w14:paraId="04E6746A">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（二）加强电子商务行业应用。一是</w:t>
      </w:r>
      <w:r>
        <w:rPr>
          <w:rFonts w:hint="eastAsia" w:ascii="宋体" w:hAnsi="宋体" w:eastAsia="宋体" w:cs="仿宋"/>
          <w:kern w:val="0"/>
          <w:sz w:val="24"/>
          <w:lang w:bidi="ar"/>
        </w:rPr>
        <w:t>拓展民生服务电子商务应用。积极依托十堰市大数据中心、郧阳区大数据基础运行平台等大数据平台，大力推进互联网、云计算、物联网等现代信息技术在商贸流通领域的应用，重点提升、建设郧阳老城历史文化传承商圈、郧阳老街、郧阳路综合商业街、柳陂镇武当不夜城、伟光汇通汉水九歌文化旅游康养综合体等商业服务功能突出的基础设施，继而为智慧商超、智慧商圈、智慧社街的打造构筑基石；引导新零售、健康医疗、学习办公、休闲娱乐、景点游玩、居家养老等生活服务类型企业，发展线上新业态，打造线上线下相结合的城市生活圈；支持企业利用大数据技术推进市场拓展、精准营销、优化服务等。二是加强农业电子商务应用。充分发挥农产品品质优势，以</w:t>
      </w:r>
      <w:r>
        <w:rPr>
          <w:rFonts w:ascii="宋体" w:hAnsi="宋体" w:eastAsia="宋体" w:cs="仿宋"/>
          <w:kern w:val="0"/>
          <w:sz w:val="24"/>
          <w:lang w:bidi="ar"/>
        </w:rPr>
        <w:t>十堰市郧阳区供销集团有限公司</w:t>
      </w:r>
      <w:r>
        <w:rPr>
          <w:rFonts w:hint="eastAsia" w:ascii="宋体" w:hAnsi="宋体" w:eastAsia="宋体" w:cs="仿宋"/>
          <w:kern w:val="0"/>
          <w:sz w:val="24"/>
          <w:lang w:bidi="ar"/>
        </w:rPr>
        <w:t>、十堰市郧阳区鑫合农产品供销有限公司等中大型农产品流通交易企业为基础，汇集农产品供应与需求信息，深化郧阳农产品企业服务网等农产品电商信息平台建设，增强农产品综合信息应用能力，建立质量分级、保鲜处理、包装运输等标准。三是提升工业电子商务应用效果。通过电商平台赋能拓展市场，加快建设与原材料供应商、成品销售商之间的信息共享、订单管理、库存管理等功能，降低工业产品成本，提高供应链运作效率。四是深化文旅电子商务应用。以郧阳</w:t>
      </w:r>
      <w:r>
        <w:rPr>
          <w:rFonts w:ascii="宋体" w:hAnsi="宋体" w:eastAsia="宋体" w:cs="Times New Roman"/>
          <w:kern w:val="0"/>
          <w:sz w:val="24"/>
          <w:lang w:bidi="ar"/>
        </w:rPr>
        <w:t>IP</w:t>
      </w:r>
      <w:r>
        <w:rPr>
          <w:rFonts w:hint="eastAsia" w:ascii="宋体" w:hAnsi="宋体" w:eastAsia="宋体" w:cs="Times New Roman"/>
          <w:kern w:val="0"/>
          <w:sz w:val="24"/>
          <w:lang w:bidi="ar"/>
        </w:rPr>
        <w:t>作为设计元素，重点结合“恐龙故里”“人类老家”两大世界级IP景区的文化宣传，通过搭直播快车、携手旅游APP、保持产品差异化、创新文化产品等方式，深化“电商+文旅”发展模式，推广</w:t>
      </w:r>
      <w:r>
        <w:rPr>
          <w:rFonts w:ascii="宋体" w:hAnsi="宋体" w:eastAsia="宋体" w:cs="Times New Roman"/>
          <w:kern w:val="0"/>
          <w:sz w:val="24"/>
          <w:lang w:bidi="ar"/>
        </w:rPr>
        <w:t>“研学+旅游”“康养+旅游”“环保志愿+旅游”等精品线路</w:t>
      </w:r>
      <w:r>
        <w:rPr>
          <w:rFonts w:hint="eastAsia" w:ascii="宋体" w:hAnsi="宋体" w:eastAsia="宋体" w:cs="Times New Roman"/>
          <w:kern w:val="0"/>
          <w:sz w:val="24"/>
          <w:lang w:bidi="ar"/>
        </w:rPr>
        <w:t>，把郧阳造在“云上”，展现“观汉水风光、寻古人足迹、探恐龙之谜、溯楚汉之源”的郧阳魅力，将郧阳故事带给消费者。</w:t>
      </w:r>
    </w:p>
    <w:p w14:paraId="0EFF216F">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（三）实现电商产业高效发展。</w:t>
      </w:r>
      <w:r>
        <w:rPr>
          <w:rFonts w:hint="eastAsia" w:ascii="宋体" w:hAnsi="宋体" w:eastAsia="宋体" w:cs="仿宋"/>
          <w:kern w:val="0"/>
          <w:sz w:val="24"/>
          <w:lang w:bidi="ar"/>
        </w:rPr>
        <w:t>打造“</w:t>
      </w:r>
      <w:r>
        <w:rPr>
          <w:rFonts w:ascii="宋体" w:hAnsi="宋体" w:eastAsia="宋体" w:cs="Times New Roman"/>
          <w:kern w:val="0"/>
          <w:sz w:val="24"/>
          <w:lang w:bidi="ar"/>
        </w:rPr>
        <w:t>5G+</w:t>
      </w:r>
      <w:r>
        <w:rPr>
          <w:rFonts w:hint="eastAsia" w:ascii="宋体" w:hAnsi="宋体" w:eastAsia="宋体" w:cs="仿宋"/>
          <w:kern w:val="0"/>
          <w:sz w:val="24"/>
          <w:lang w:bidi="ar"/>
        </w:rPr>
        <w:t>”赋能传统产业高质量发展场景，发挥湖北五小电子商务公司、十堰市郧阳区供销电子商务有限公司等龙头企业在采购、销售等方面的带动作用，以产业链为基础、供应链管理为重点，整合上下游企业资源，实现产业链企业间的业务融合与信息互联。引导企业加强电商发展思维，加大与行业垂直门户平台、第三方电商平台的合作，拓展市场，提升竞争力。鼓励企业对生产流程（设计研发、供应链管理、生产制造等）进行改造升级，开展电子商务个性化定制、柔性定制等服务，促进由生产型制造向服务化制造转型，提高工厂订单响应效率。</w:t>
      </w:r>
    </w:p>
    <w:p w14:paraId="61488F05">
      <w:pPr>
        <w:pStyle w:val="3"/>
        <w:rPr>
          <w:rFonts w:asciiTheme="minorEastAsia" w:hAnsiTheme="minorEastAsia" w:eastAsiaTheme="minorEastAsia"/>
          <w:sz w:val="28"/>
          <w:szCs w:val="28"/>
        </w:rPr>
      </w:pPr>
      <w:bookmarkStart w:id="36" w:name="_Toc183083281"/>
      <w:bookmarkStart w:id="37" w:name="_Toc181666867"/>
      <w:bookmarkStart w:id="38" w:name="_Hlk181315440"/>
      <w:r>
        <w:rPr>
          <w:rFonts w:hint="eastAsia" w:asciiTheme="minorEastAsia" w:hAnsiTheme="minorEastAsia" w:eastAsiaTheme="minorEastAsia"/>
          <w:sz w:val="28"/>
          <w:szCs w:val="28"/>
        </w:rPr>
        <w:t>四、升级物流配送体系</w:t>
      </w:r>
      <w:bookmarkEnd w:id="36"/>
      <w:bookmarkEnd w:id="37"/>
    </w:p>
    <w:bookmarkEnd w:id="38"/>
    <w:p w14:paraId="06DF944F">
      <w:pPr>
        <w:widowControl/>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以升级完善物流配送体系为重点，以助力新质生产力发展为基石，优化快递物流节点布局、提升物流基础设施数字化智能化水平、提高电商物流末端服务能力、建立智慧快递物流服务体系、发展绿色生态供应链等多任务并举，促进电子商务与快递物流协同发展。</w:t>
      </w:r>
    </w:p>
    <w:p w14:paraId="5517421A">
      <w:pPr>
        <w:spacing w:line="360" w:lineRule="auto"/>
        <w:ind w:firstLine="480" w:firstLineChars="200"/>
        <w:rPr>
          <w:rFonts w:ascii="宋体" w:hAnsi="宋体" w:eastAsia="宋体" w:cs="仿宋"/>
          <w:kern w:val="0"/>
          <w:sz w:val="24"/>
          <w:lang w:bidi="ar"/>
        </w:rPr>
      </w:pPr>
      <w:bookmarkStart w:id="39" w:name="_Hlk181315506"/>
      <w:r>
        <w:rPr>
          <w:rFonts w:hint="eastAsia" w:ascii="宋体" w:hAnsi="宋体" w:eastAsia="宋体" w:cs="仿宋"/>
          <w:kern w:val="0"/>
          <w:sz w:val="24"/>
          <w:lang w:val="zh-CN" w:bidi="zh-CN"/>
        </w:rPr>
        <w:t>（一）满足新质生产力发展需求。</w:t>
      </w:r>
      <w:bookmarkEnd w:id="39"/>
      <w:r>
        <w:rPr>
          <w:rFonts w:hint="eastAsia" w:ascii="宋体" w:hAnsi="宋体" w:eastAsia="宋体" w:cs="仿宋"/>
          <w:kern w:val="0"/>
          <w:sz w:val="24"/>
          <w:lang w:bidi="ar"/>
        </w:rPr>
        <w:t>一是通过服务创新提升物流效率。通过整合和优化物流资源、运输方式、仓储设施和信息技术等方面的创新，促进十堰市泰通物流有限公司、十堰聚鑫物流有限公司等物流企业能够提供更加高效、便捷和可靠的物流服务。二是通过技术创新推动智能化升级。鼓励和支持物流行业积极引入数字化、智能化和自动化等新技术，通过智能化设备的部署，如无人驾驶车辆、自动化仓库等，显著提高物流运作的自动化和智能化水平，实现流程优化和物流环节的精细管理。三是通过管理创新促进供应链优化。鼓励和支持物流企业利用郧阳供应链信息服务平台，发挥货运场站、物流园区、物流中心等物流集散地及核心产业集群联动效应，实现供应链的整体优化和价值链的协同增效，以提高物流的整体效益和社会经济的综合效益。</w:t>
      </w:r>
    </w:p>
    <w:p w14:paraId="7439D2AD">
      <w:pPr>
        <w:spacing w:line="360" w:lineRule="auto"/>
        <w:ind w:firstLine="480" w:firstLineChars="200"/>
        <w:rPr>
          <w:rFonts w:ascii="宋体" w:hAnsi="宋体" w:eastAsia="宋体" w:cs="仿宋"/>
          <w:kern w:val="0"/>
          <w:sz w:val="24"/>
          <w:lang w:bidi="ar"/>
        </w:rPr>
      </w:pPr>
      <w:bookmarkStart w:id="40" w:name="_Hlk181315553"/>
      <w:r>
        <w:rPr>
          <w:rFonts w:hint="eastAsia" w:ascii="宋体" w:hAnsi="宋体" w:eastAsia="宋体" w:cs="仿宋"/>
          <w:kern w:val="0"/>
          <w:sz w:val="24"/>
          <w:lang w:val="zh-CN" w:bidi="zh-CN"/>
        </w:rPr>
        <w:t>（二）</w:t>
      </w:r>
      <w:bookmarkStart w:id="41" w:name="_Hlk179057603"/>
      <w:r>
        <w:rPr>
          <w:rFonts w:hint="eastAsia" w:ascii="宋体" w:hAnsi="宋体" w:eastAsia="宋体" w:cs="仿宋"/>
          <w:kern w:val="0"/>
          <w:sz w:val="24"/>
          <w:lang w:val="zh-CN" w:bidi="zh-CN"/>
        </w:rPr>
        <w:t>推进现代物流基础建设</w:t>
      </w:r>
      <w:bookmarkEnd w:id="41"/>
      <w:r>
        <w:rPr>
          <w:rFonts w:hint="eastAsia" w:ascii="宋体" w:hAnsi="宋体" w:eastAsia="宋体" w:cs="仿宋"/>
          <w:kern w:val="0"/>
          <w:sz w:val="24"/>
          <w:lang w:val="zh-CN" w:bidi="zh-CN"/>
        </w:rPr>
        <w:t>。</w:t>
      </w:r>
      <w:bookmarkEnd w:id="40"/>
      <w:r>
        <w:rPr>
          <w:rFonts w:hint="eastAsia" w:ascii="宋体" w:hAnsi="宋体" w:eastAsia="宋体" w:cs="仿宋"/>
          <w:b/>
          <w:bCs/>
          <w:kern w:val="0"/>
          <w:sz w:val="24"/>
          <w:lang w:bidi="ar"/>
        </w:rPr>
        <w:t>一</w:t>
      </w:r>
      <w:r>
        <w:rPr>
          <w:rFonts w:hint="eastAsia" w:ascii="宋体" w:hAnsi="宋体" w:eastAsia="宋体" w:cs="仿宋"/>
          <w:bCs/>
          <w:kern w:val="0"/>
          <w:sz w:val="24"/>
          <w:lang w:bidi="ar"/>
        </w:rPr>
        <w:t>是</w:t>
      </w:r>
      <w:r>
        <w:rPr>
          <w:rFonts w:hint="eastAsia" w:ascii="宋体" w:hAnsi="宋体" w:eastAsia="宋体" w:cs="仿宋"/>
          <w:kern w:val="0"/>
          <w:sz w:val="24"/>
          <w:lang w:bidi="ar"/>
        </w:rPr>
        <w:t>完善配套设施。将现代化物流园区、</w:t>
      </w:r>
      <w:bookmarkStart w:id="42" w:name="_Hlk179057548"/>
      <w:r>
        <w:rPr>
          <w:rFonts w:hint="eastAsia" w:ascii="宋体" w:hAnsi="宋体" w:eastAsia="宋体" w:cs="仿宋"/>
          <w:kern w:val="0"/>
          <w:sz w:val="24"/>
          <w:lang w:bidi="ar"/>
        </w:rPr>
        <w:t>智能云仓和自动化配送中心</w:t>
      </w:r>
      <w:bookmarkEnd w:id="42"/>
      <w:r>
        <w:rPr>
          <w:rFonts w:hint="eastAsia" w:ascii="宋体" w:hAnsi="宋体" w:eastAsia="宋体" w:cs="仿宋"/>
          <w:kern w:val="0"/>
          <w:sz w:val="24"/>
          <w:lang w:bidi="ar"/>
        </w:rPr>
        <w:t>的建设用地纳入郧阳区城乡规划，持续提高物流和电商产业的运作效率和服务水平。开展快递末端建设，将智能寄递柜、快递末端综合服务场所纳入公共服务设施相关规划，明确智能寄递柜、快递末端综合服务场所的公共属性，学校、社区、邻里公园等公共场所要对其布放、运行提供场地、水电、网络等便利。进一步加强农村物流节点的统筹布局与功能集成，引导镇（乡）依据社区（村）人流量，对现有快递服务网点（驿站）进行升级改造，健全“代买代售”“代收代缴”等功能的支持服务；加强农产品冷链物流建设，健全仓储、冷链、运输、供应链管理等能力，在农产品生产基地所在地建设冷链仓储和集配中心，满足农业生鲜产品上行需要。</w:t>
      </w:r>
      <w:r>
        <w:rPr>
          <w:rFonts w:hint="eastAsia" w:ascii="宋体" w:hAnsi="宋体" w:eastAsia="宋体" w:cs="仿宋"/>
          <w:b/>
          <w:bCs/>
          <w:kern w:val="0"/>
          <w:sz w:val="24"/>
          <w:lang w:bidi="ar"/>
        </w:rPr>
        <w:t>二</w:t>
      </w:r>
      <w:r>
        <w:rPr>
          <w:rFonts w:hint="eastAsia" w:ascii="宋体" w:hAnsi="宋体" w:eastAsia="宋体" w:cs="仿宋"/>
          <w:bCs/>
          <w:kern w:val="0"/>
          <w:sz w:val="24"/>
          <w:lang w:bidi="ar"/>
        </w:rPr>
        <w:t>是</w:t>
      </w:r>
      <w:r>
        <w:rPr>
          <w:rFonts w:hint="eastAsia" w:ascii="宋体" w:hAnsi="宋体" w:eastAsia="宋体" w:cs="仿宋"/>
          <w:kern w:val="0"/>
          <w:sz w:val="24"/>
          <w:lang w:bidi="ar"/>
        </w:rPr>
        <w:t xml:space="preserve">加速交通网络升级。积极贯彻“一江两湖四区六镇”“郧十一体化”等城镇建设战略，持续推进玄岳大道郧阳段的建设，提升机场（十堰武当山机场）至郧阳区沿线交通运力；推动“四好农村路”高质量发展，重点聚焦农村公路修复、危桥改造等工作，全面推进农村公路提质升级，提升通达深度，提高通达率，形成畅通安全的农村公路网络；推进“黄金水道、综合港区”的形成，以汉江航道为主体，环郧阳岛航道为辅的内河航道网，充分利用牛头岭物流园码头等设施，提高物流效率，降低物流成本，保障物流运输的畅通。 </w:t>
      </w:r>
    </w:p>
    <w:p w14:paraId="4C3AC667">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（三）提升电商物流信息化标准化水平。</w:t>
      </w:r>
      <w:r>
        <w:rPr>
          <w:rFonts w:hint="eastAsia" w:ascii="宋体" w:hAnsi="宋体" w:eastAsia="宋体" w:cs="仿宋"/>
          <w:kern w:val="0"/>
          <w:sz w:val="24"/>
          <w:lang w:bidi="ar"/>
        </w:rPr>
        <w:t>完善电子商务与快递物流数据保护、开放共享规则，整合共享上下游资源，促进商流、物流、信息流、资金流等无缝衔接，引导电子商务企业与快递物流企业加强系统互联和业务联动，共享共建数据。加强大数据、云计算、机器人等现代信息技术和装备在快递物流领域应用，鼓励实现物流公共数据平台供应链数据的标准化处理，推广电商物流标准规范，指导郧阳区交通物流发展所开展贯标工作，进一步提高电子商务物流服务水平。</w:t>
      </w:r>
    </w:p>
    <w:p w14:paraId="5D886DC5">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（四）促进绿色物流供应链发展。</w:t>
      </w:r>
      <w:r>
        <w:rPr>
          <w:rFonts w:hint="eastAsia" w:ascii="宋体" w:hAnsi="宋体" w:eastAsia="宋体" w:cs="仿宋"/>
          <w:kern w:val="0"/>
          <w:sz w:val="24"/>
          <w:lang w:bidi="ar"/>
        </w:rPr>
        <w:t>推广绿色运输、绿色仓储、绿色包装、绿色流通加工等协同运行的物流新模式，加强物流园区绿色技术应用和绿色物流基础设施建设，推进燃油配送车辆逐批次淘汰及新能源运输配送车辆使用、设施配套，促进共同配送。鼓励物流企业建立外包装循环利用机制，开展绿色积分认定、绿色积分兑换等措施，引导生产企业使用可降解材料、减少过度使用外包装等行为，推进现代化物流业绿色低碳发展。</w:t>
      </w:r>
    </w:p>
    <w:p w14:paraId="078CF6B1">
      <w:pPr>
        <w:pStyle w:val="3"/>
        <w:rPr>
          <w:rFonts w:asciiTheme="minorEastAsia" w:hAnsiTheme="minorEastAsia" w:eastAsiaTheme="minorEastAsia"/>
          <w:sz w:val="28"/>
          <w:szCs w:val="28"/>
        </w:rPr>
      </w:pPr>
      <w:bookmarkStart w:id="43" w:name="_Toc183083282"/>
      <w:bookmarkStart w:id="44" w:name="_Toc181666868"/>
      <w:bookmarkStart w:id="45" w:name="_Hlk181317805"/>
      <w:r>
        <w:rPr>
          <w:rFonts w:hint="eastAsia" w:asciiTheme="minorEastAsia" w:hAnsiTheme="minorEastAsia" w:eastAsiaTheme="minorEastAsia"/>
          <w:sz w:val="28"/>
          <w:szCs w:val="28"/>
        </w:rPr>
        <w:t>五、推动跨境电商发展</w:t>
      </w:r>
      <w:bookmarkEnd w:id="43"/>
      <w:bookmarkEnd w:id="44"/>
    </w:p>
    <w:bookmarkEnd w:id="45"/>
    <w:p w14:paraId="7FBC0EE7">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以“借地融智”凝聚人才，充分发挥“电商飞地”作用，搭建跨境电商产业载体；“借机起飞”“借港出海”拓宽跨境电商物流发展方式，打造多式联运通道，发展海外仓业务；“借梯登高”对接国内外知名跨境电商平台，积极推进跨境电商应用发展。</w:t>
      </w:r>
    </w:p>
    <w:p w14:paraId="7BD26CB8">
      <w:pPr>
        <w:spacing w:line="360" w:lineRule="auto"/>
        <w:ind w:firstLine="480" w:firstLineChars="200"/>
        <w:rPr>
          <w:rFonts w:ascii="宋体" w:hAnsi="宋体" w:eastAsia="宋体" w:cs="仿宋"/>
          <w:kern w:val="0"/>
          <w:sz w:val="24"/>
          <w:lang w:bidi="ar"/>
        </w:rPr>
      </w:pPr>
      <w:bookmarkStart w:id="46" w:name="_Hlk181317819"/>
      <w:r>
        <w:rPr>
          <w:rFonts w:hint="eastAsia" w:ascii="宋体" w:hAnsi="宋体" w:eastAsia="宋体" w:cs="仿宋"/>
          <w:kern w:val="0"/>
          <w:sz w:val="24"/>
          <w:lang w:val="zh-CN" w:bidi="zh-CN"/>
        </w:rPr>
        <w:t>（一）搭建特色产业跨境电商载体。</w:t>
      </w:r>
      <w:bookmarkEnd w:id="46"/>
      <w:r>
        <w:rPr>
          <w:rFonts w:hint="eastAsia" w:ascii="宋体" w:hAnsi="宋体" w:eastAsia="宋体" w:cs="仿宋"/>
          <w:kern w:val="0"/>
          <w:sz w:val="24"/>
          <w:lang w:bidi="ar"/>
        </w:rPr>
        <w:t>以郧阳特色产业为核心建设跨境电商产业园区。引进外贸综合服务企业、跨境电商服务企业，为入驻园区跨境电商企业提供备案登记、政策咨询、代运营、品牌设计、产品营销、客服、金融、数据支持、报关、一站式通关、保税退税、物流运输等服务，打造跨境电商综合配套服务体系，增强产业集聚效应，初步形成集跨境贸易、赋能服务、品牌集聚、数字产业于一体的“平台+生态”综合性跨境电商生态。紧密对接湖北自贸区十堰联动创新发展区与</w:t>
      </w:r>
      <w:r>
        <w:rPr>
          <w:rFonts w:ascii="宋体" w:hAnsi="宋体" w:eastAsia="宋体" w:cs="仿宋"/>
          <w:kern w:val="0"/>
          <w:sz w:val="24"/>
          <w:lang w:bidi="ar"/>
        </w:rPr>
        <w:t>襄阳自贸片区(综保区)</w:t>
      </w:r>
      <w:r>
        <w:rPr>
          <w:rFonts w:hint="eastAsia" w:ascii="宋体" w:hAnsi="宋体" w:eastAsia="宋体" w:cs="仿宋"/>
          <w:kern w:val="0"/>
          <w:sz w:val="24"/>
          <w:lang w:bidi="ar"/>
        </w:rPr>
        <w:t>，支持相关企业入驻相应园区。</w:t>
      </w:r>
    </w:p>
    <w:p w14:paraId="4790A531">
      <w:pPr>
        <w:spacing w:line="360" w:lineRule="auto"/>
        <w:ind w:firstLine="480" w:firstLineChars="200"/>
        <w:rPr>
          <w:rFonts w:ascii="宋体" w:hAnsi="宋体" w:eastAsia="宋体" w:cs="MS Gothic"/>
          <w:kern w:val="0"/>
          <w:sz w:val="24"/>
          <w:lang w:bidi="ar"/>
        </w:rPr>
      </w:pPr>
      <w:r>
        <w:rPr>
          <w:rFonts w:hint="eastAsia" w:ascii="宋体" w:hAnsi="宋体" w:eastAsia="宋体" w:cs="仿宋"/>
          <w:kern w:val="0"/>
          <w:sz w:val="24"/>
          <w:lang w:val="zh-CN" w:bidi="zh-CN"/>
        </w:rPr>
        <w:t>（二）</w:t>
      </w:r>
      <w:bookmarkStart w:id="47" w:name="_Hlk179024892"/>
      <w:r>
        <w:rPr>
          <w:rFonts w:hint="eastAsia" w:ascii="宋体" w:hAnsi="宋体" w:eastAsia="宋体" w:cs="仿宋"/>
          <w:kern w:val="0"/>
          <w:sz w:val="24"/>
          <w:lang w:val="zh-CN" w:bidi="zh-CN"/>
        </w:rPr>
        <w:t>拓宽跨境电商物流发展方式</w:t>
      </w:r>
      <w:bookmarkEnd w:id="47"/>
      <w:r>
        <w:rPr>
          <w:rFonts w:hint="eastAsia" w:ascii="宋体" w:hAnsi="宋体" w:eastAsia="宋体" w:cs="仿宋"/>
          <w:kern w:val="0"/>
          <w:sz w:val="24"/>
          <w:lang w:val="zh-CN" w:bidi="zh-CN"/>
        </w:rPr>
        <w:t>。</w:t>
      </w:r>
      <w:r>
        <w:rPr>
          <w:rFonts w:hint="eastAsia" w:ascii="宋体" w:hAnsi="宋体" w:eastAsia="宋体" w:cs="MS Gothic"/>
          <w:bCs/>
          <w:kern w:val="0"/>
          <w:sz w:val="24"/>
          <w:lang w:bidi="ar"/>
        </w:rPr>
        <w:t>一是</w:t>
      </w:r>
      <w:r>
        <w:rPr>
          <w:rFonts w:hint="eastAsia" w:ascii="宋体" w:hAnsi="宋体" w:eastAsia="宋体" w:cs="MS Gothic"/>
          <w:kern w:val="0"/>
          <w:sz w:val="24"/>
          <w:lang w:bidi="ar"/>
        </w:rPr>
        <w:t>打造多式联运通道。以“借机起飞”（襄阳刘集机场、鄂州花湖机场）“借港出海”（襄阳综保区）为主要发展思路，统筹利用机场、高铁、襄阳港等周边航线及铁路资源，依托十汉欧货运班列、襄欧货运班列等国际物流大通道资源，推进集装箱物流与多式联运路线建设。</w:t>
      </w:r>
      <w:r>
        <w:rPr>
          <w:rFonts w:hint="eastAsia" w:ascii="宋体" w:hAnsi="宋体" w:eastAsia="宋体" w:cs="MS Gothic"/>
          <w:bCs/>
          <w:kern w:val="0"/>
          <w:sz w:val="24"/>
          <w:lang w:bidi="ar"/>
        </w:rPr>
        <w:t>二是</w:t>
      </w:r>
      <w:r>
        <w:rPr>
          <w:rFonts w:hint="eastAsia" w:ascii="宋体" w:hAnsi="宋体" w:eastAsia="宋体" w:cs="MS Gothic"/>
          <w:kern w:val="0"/>
          <w:sz w:val="24"/>
          <w:lang w:bidi="ar"/>
        </w:rPr>
        <w:t>积极发展海外仓业务。坚持</w:t>
      </w:r>
      <w:r>
        <w:rPr>
          <w:rFonts w:hint="eastAsia" w:ascii="宋体" w:hAnsi="宋体" w:eastAsia="宋体" w:cs="MS Gothic"/>
          <w:b/>
          <w:bCs/>
          <w:kern w:val="0"/>
          <w:sz w:val="24"/>
          <w:lang w:bidi="ar"/>
        </w:rPr>
        <w:t>“</w:t>
      </w:r>
      <w:r>
        <w:rPr>
          <w:rFonts w:hint="eastAsia" w:ascii="宋体" w:hAnsi="宋体" w:eastAsia="宋体" w:cs="MS Gothic"/>
          <w:kern w:val="0"/>
          <w:sz w:val="24"/>
          <w:lang w:bidi="ar"/>
        </w:rPr>
        <w:t>鼓励对接省公共海外仓，支持跨境电商企业建设海外仓”理念，依托海外仓建设海外营销中心、海外仓信息平台，提供境外营销、便利商务、边境退换货等服务。探索跨境电商业务混仓运营，引导更多优质海外仓为郧阳区企业服务。巩固郧阳特色产业的欧美、日韩、东南亚传统市场，进一步发展“一带一路”沿线国家市场，全面打通面向海外消费终端的产品营销渠道，提高自主品牌影响力。</w:t>
      </w:r>
    </w:p>
    <w:p w14:paraId="1A74986A">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（三）积极推进跨境电商应用。</w:t>
      </w:r>
      <w:r>
        <w:rPr>
          <w:rFonts w:hint="eastAsia" w:ascii="宋体" w:hAnsi="宋体" w:eastAsia="宋体" w:cs="Times New Roman"/>
          <w:kern w:val="0"/>
          <w:sz w:val="24"/>
          <w:lang w:bidi="ar"/>
        </w:rPr>
        <w:t>鼓励</w:t>
      </w:r>
      <w:r>
        <w:rPr>
          <w:rFonts w:hint="eastAsia" w:ascii="宋体" w:hAnsi="宋体" w:eastAsia="宋体" w:cs="仿宋"/>
          <w:kern w:val="0"/>
          <w:sz w:val="24"/>
          <w:lang w:bidi="ar"/>
        </w:rPr>
        <w:t>新能源和智能网联汽车、新材料、生物科技、</w:t>
      </w:r>
      <w:r>
        <w:rPr>
          <w:rFonts w:hint="eastAsia" w:ascii="宋体" w:hAnsi="宋体" w:eastAsia="宋体" w:cs="Times New Roman"/>
          <w:kern w:val="0"/>
          <w:sz w:val="24"/>
          <w:lang w:bidi="ar"/>
        </w:rPr>
        <w:t>郧阳香菇、袜业等行业企业，开展与网易考拉、天猫国际、亚马逊、沃尔玛、速卖通、拼多多（海外版）、TikTok Shop等国内外知名跨境电商平台的专项对接计划。充分贯彻“借梯登高”的思路，积极参与电商行业博览会、跨境电商产业对接会、跨境电商高质量发展大会等系列活动；帮助企业以多种货币开展业务，为跨境电商平台卖家和独立站卖家提供快速结算、提高结账转化率、优惠费率、降低资金风险、本地拒付处理等专业服务。</w:t>
      </w:r>
    </w:p>
    <w:p w14:paraId="79D7BE4C">
      <w:pPr>
        <w:pStyle w:val="3"/>
        <w:rPr>
          <w:rFonts w:asciiTheme="minorEastAsia" w:hAnsiTheme="minorEastAsia" w:eastAsiaTheme="minorEastAsia"/>
          <w:sz w:val="28"/>
          <w:szCs w:val="28"/>
        </w:rPr>
      </w:pPr>
      <w:bookmarkStart w:id="48" w:name="_Toc183083283"/>
      <w:bookmarkStart w:id="49" w:name="_Toc181666869"/>
      <w:bookmarkStart w:id="50" w:name="_Hlk181318237"/>
      <w:r>
        <w:rPr>
          <w:rFonts w:hint="eastAsia" w:asciiTheme="minorEastAsia" w:hAnsiTheme="minorEastAsia" w:eastAsiaTheme="minorEastAsia"/>
          <w:sz w:val="28"/>
          <w:szCs w:val="28"/>
        </w:rPr>
        <w:t>六、聚焦产品品牌建设</w:t>
      </w:r>
      <w:bookmarkEnd w:id="48"/>
      <w:bookmarkEnd w:id="49"/>
    </w:p>
    <w:bookmarkEnd w:id="50"/>
    <w:p w14:paraId="1BF8A32C">
      <w:pPr>
        <w:widowControl/>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以推动区域品牌建设为核心，促进农特产品的生态品牌基地建设，加强特色产品质量监管，切实保障品牌的产品质量标准与食品安全。</w:t>
      </w:r>
    </w:p>
    <w:p w14:paraId="11F7F8B3">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（一）重视农产品品牌建设。</w:t>
      </w:r>
      <w:r>
        <w:rPr>
          <w:rFonts w:hint="eastAsia" w:ascii="宋体" w:hAnsi="宋体" w:eastAsia="宋体" w:cs="仿宋"/>
          <w:kern w:val="0"/>
          <w:sz w:val="24"/>
          <w:lang w:bidi="ar"/>
        </w:rPr>
        <w:t>一是推进农产品精加工能力，提升农产品附加值。继续吸引具备先进生产技术与生产经验、实力雄厚的企业来农村建厂，鼓励其与农民、电商平台开展合作，推动初级农产品向特色农产品转化，实现农产品价值提升，激发乡村农产品生产创新活力。二是转变“家庭作坊式”生产模式，加强对农村企业主、经营个户的经营指导与技术培训，为其颁发农业种植经验和种植技术证明，帮助办理营业执照，继而培育具有发展潜力的企业。三是立足于郧阳当地特色农产品，与专业营销公司达成合作，制定专门化品牌建设方案，成立品牌建设管理团队，讲好“郧阳故事”，赋予农产品文化价值，增强品牌知名度与综合实力。</w:t>
      </w:r>
    </w:p>
    <w:p w14:paraId="260A23D8">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（二）推动区域品牌建设。一是</w:t>
      </w:r>
      <w:r>
        <w:rPr>
          <w:rFonts w:hint="eastAsia" w:ascii="宋体" w:hAnsi="宋体" w:eastAsia="宋体" w:cs="仿宋"/>
          <w:kern w:val="0"/>
          <w:sz w:val="24"/>
          <w:lang w:bidi="ar"/>
        </w:rPr>
        <w:t>对已获得“二品一标”产品提高关注程度，强调产品生产的规模化与标准化。通过积极对上争取、多方筹集等方式，建设高标准农业产业示范基地，做优现代化农业、智慧农业，确保产品品质稳定、安全。二是发展特色产业，讲好产品品牌故事。以郧阳香菇、油橄榄、红薯“大三链”和果蔬、玉米、黄酒“小三链”建设为抓手，立足本地资源特色，按照“一村一品”发展思路，深化“企业+合作社+农户”模式，围绕油菜、桑蚕、香菇、茶叶、黄酒、红薯粉条、石榴、罗非鱼、樱桃等产业进行品牌发展，挖掘有关特色产品的深层次文化内涵，讲好产品故事、做好产品包装、提升产品档次，统一产品策划、设计，通过网络平台直播、网红带货等方式，建设区域特色产品品牌。三是打造“三生郧阳”“郧上优品”郧阳区区域公用品牌。“三生郧阳”“郧上优品”已有一定知名度，但还未上升到公用品牌层面。因此，需要加大投入，</w:t>
      </w:r>
      <w:r>
        <w:rPr>
          <w:rFonts w:ascii="宋体" w:hAnsi="宋体" w:eastAsia="宋体" w:cs="仿宋"/>
          <w:kern w:val="0"/>
          <w:sz w:val="24"/>
          <w:lang w:bidi="ar"/>
        </w:rPr>
        <w:t>充分结合资源禀赋、产业特色、历史人文区域优势，</w:t>
      </w:r>
      <w:r>
        <w:rPr>
          <w:rFonts w:hint="eastAsia" w:ascii="宋体" w:hAnsi="宋体" w:eastAsia="宋体" w:cs="仿宋"/>
          <w:kern w:val="0"/>
          <w:sz w:val="24"/>
          <w:lang w:bidi="ar"/>
        </w:rPr>
        <w:t>争创“三生郧阳”“郧上优品”两个区域公用品牌</w:t>
      </w:r>
      <w:r>
        <w:rPr>
          <w:rFonts w:ascii="宋体" w:hAnsi="宋体" w:eastAsia="宋体" w:cs="仿宋"/>
          <w:kern w:val="0"/>
          <w:sz w:val="24"/>
          <w:lang w:bidi="ar"/>
        </w:rPr>
        <w:t>，</w:t>
      </w:r>
      <w:r>
        <w:rPr>
          <w:rFonts w:hint="eastAsia" w:ascii="宋体" w:hAnsi="宋体" w:eastAsia="宋体" w:cs="仿宋"/>
          <w:kern w:val="0"/>
          <w:sz w:val="24"/>
          <w:lang w:bidi="ar"/>
        </w:rPr>
        <w:t>利用“三生郧阳”“郧上优品”来打造</w:t>
      </w:r>
      <w:r>
        <w:rPr>
          <w:rFonts w:ascii="宋体" w:hAnsi="宋体" w:eastAsia="宋体" w:cs="仿宋"/>
          <w:kern w:val="0"/>
          <w:sz w:val="24"/>
          <w:lang w:bidi="ar"/>
        </w:rPr>
        <w:t>网络爆款产品</w:t>
      </w:r>
      <w:r>
        <w:rPr>
          <w:rFonts w:hint="eastAsia" w:ascii="宋体" w:hAnsi="宋体" w:eastAsia="宋体" w:cs="仿宋"/>
          <w:kern w:val="0"/>
          <w:sz w:val="24"/>
          <w:lang w:bidi="ar"/>
        </w:rPr>
        <w:t>。四是支持企业对接“武当山珍”“武当山茶”两大区域公共品牌，实行“武当山珍”“武当山茶”母商标加企业、农户自身商标双品牌运营。</w:t>
      </w:r>
    </w:p>
    <w:p w14:paraId="23691BF8">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（三）促进生态品牌基地建设。</w:t>
      </w:r>
      <w:r>
        <w:rPr>
          <w:rFonts w:hint="eastAsia" w:ascii="宋体" w:hAnsi="宋体" w:eastAsia="宋体" w:cs="仿宋"/>
          <w:kern w:val="0"/>
          <w:sz w:val="24"/>
          <w:lang w:bidi="ar"/>
        </w:rPr>
        <w:t>优化菌菇种植园、渔业养殖基地、油橄榄加工园和香菇观光农业园的观光走廊路线，</w:t>
      </w:r>
      <w:bookmarkStart w:id="51" w:name="_Hlk178972775"/>
      <w:r>
        <w:rPr>
          <w:rFonts w:hint="eastAsia" w:ascii="宋体" w:hAnsi="宋体" w:eastAsia="宋体" w:cs="仿宋"/>
          <w:kern w:val="0"/>
          <w:sz w:val="24"/>
          <w:lang w:bidi="ar"/>
        </w:rPr>
        <w:t>将电子商务营销与农业综合示范充分结合</w:t>
      </w:r>
      <w:bookmarkEnd w:id="51"/>
      <w:r>
        <w:rPr>
          <w:rFonts w:hint="eastAsia" w:ascii="宋体" w:hAnsi="宋体" w:eastAsia="宋体" w:cs="仿宋"/>
          <w:kern w:val="0"/>
          <w:sz w:val="24"/>
          <w:lang w:bidi="ar"/>
        </w:rPr>
        <w:t>，打造生态品牌示范基地。积极拓展农村电子商务示范范围，以农业电子商务平台与龙头企业、农产品营销大户、农民专业合作社及超市、餐饮连锁企业等密切合作为基础，以农产品信息发布、展示、交易、溯源和农业技术服务等为主要内容，打造覆盖企业、农户和消费者的价值链条，</w:t>
      </w:r>
      <w:r>
        <w:rPr>
          <w:rFonts w:ascii="宋体" w:hAnsi="宋体" w:eastAsia="宋体" w:cs="仿宋"/>
          <w:kern w:val="0"/>
          <w:sz w:val="24"/>
          <w:lang w:bidi="ar"/>
        </w:rPr>
        <w:t>实现多方共赢。</w:t>
      </w:r>
    </w:p>
    <w:p w14:paraId="3CE16B10">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（四）加强特色产品质量监管。</w:t>
      </w:r>
      <w:r>
        <w:rPr>
          <w:rFonts w:hint="eastAsia" w:ascii="宋体" w:hAnsi="宋体" w:eastAsia="宋体" w:cs="仿宋"/>
          <w:bCs/>
          <w:kern w:val="0"/>
          <w:sz w:val="24"/>
          <w:lang w:bidi="ar"/>
        </w:rPr>
        <w:t>一是</w:t>
      </w:r>
      <w:r>
        <w:rPr>
          <w:rFonts w:hint="eastAsia" w:ascii="宋体" w:hAnsi="宋体" w:eastAsia="宋体" w:cs="仿宋"/>
          <w:kern w:val="0"/>
          <w:sz w:val="24"/>
          <w:lang w:bidi="ar"/>
        </w:rPr>
        <w:t>加强对种植基地、农资商店的检查力度。对种植基地的生产台账、农业投入品使用、产品质量合格证等内容进行不定时检查，并发放最新版《禁限用农药名录》，严把农产品质量安全产出关。对农资经营门店的种子、农药、化肥等农资购销台账情况进行检查，同时对经营场所制度上墙，向农资经营者宣传相关法律法规。</w:t>
      </w:r>
      <w:r>
        <w:rPr>
          <w:rFonts w:hint="eastAsia" w:ascii="宋体" w:hAnsi="宋体" w:eastAsia="宋体" w:cs="仿宋"/>
          <w:bCs/>
          <w:kern w:val="0"/>
          <w:sz w:val="24"/>
          <w:lang w:bidi="ar"/>
        </w:rPr>
        <w:t>二是</w:t>
      </w:r>
      <w:r>
        <w:rPr>
          <w:rFonts w:hint="eastAsia" w:ascii="宋体" w:hAnsi="宋体" w:eastAsia="宋体" w:cs="仿宋"/>
          <w:kern w:val="0"/>
          <w:sz w:val="24"/>
          <w:lang w:bidi="ar"/>
        </w:rPr>
        <w:t>落实特色产品监管标准。定期对生产经营主体所属行业、主体属性、主体状态、组织形式、主体类别、认证类型等信息进行摸排、登记，并上传至国家农产品质量安全追溯管理信息平台，实现农产品“来源可追溯、流向可追踪、风险可预警、产品可召回、责任可追究”。按照“政府负总责、监管到村组、检测全覆盖”的要求，以标准化生产、“二品一标”认证、质量安全监管、市场抽样监测、市场准入准出等为重点，扎实推进农产品质量安全监管体系建设。</w:t>
      </w:r>
      <w:r>
        <w:rPr>
          <w:rFonts w:hint="eastAsia" w:ascii="宋体" w:hAnsi="宋体" w:eastAsia="宋体" w:cs="仿宋"/>
          <w:bCs/>
          <w:kern w:val="0"/>
          <w:sz w:val="24"/>
          <w:lang w:bidi="ar"/>
        </w:rPr>
        <w:t>三是</w:t>
      </w:r>
      <w:r>
        <w:rPr>
          <w:rFonts w:hint="eastAsia" w:ascii="宋体" w:hAnsi="宋体" w:eastAsia="宋体" w:cs="仿宋"/>
          <w:kern w:val="0"/>
          <w:sz w:val="24"/>
          <w:lang w:bidi="ar"/>
        </w:rPr>
        <w:t>积极推进农业标准化示范区建设。郧阳区市场监管部门应以农业标准化示范项目为抓手，主动对接企业，加强业务指导，组织各类标准化培训，帮助企业建立健全农产品标准化体系，提升示范区标准化建设水平，保障农业标准化示范区项目建设有条不紊。</w:t>
      </w:r>
    </w:p>
    <w:p w14:paraId="2362C9C0">
      <w:pPr>
        <w:pStyle w:val="3"/>
        <w:rPr>
          <w:rFonts w:asciiTheme="minorEastAsia" w:hAnsiTheme="minorEastAsia" w:eastAsiaTheme="minorEastAsia"/>
          <w:sz w:val="28"/>
          <w:szCs w:val="28"/>
        </w:rPr>
      </w:pPr>
      <w:bookmarkStart w:id="52" w:name="_Toc183083284"/>
      <w:bookmarkStart w:id="53" w:name="_Toc181666870"/>
      <w:bookmarkStart w:id="54" w:name="_Hlk181319678"/>
      <w:r>
        <w:rPr>
          <w:rFonts w:hint="eastAsia" w:asciiTheme="minorEastAsia" w:hAnsiTheme="minorEastAsia" w:eastAsiaTheme="minorEastAsia"/>
          <w:sz w:val="28"/>
          <w:szCs w:val="28"/>
        </w:rPr>
        <w:t>七、加强电商主体引培</w:t>
      </w:r>
      <w:bookmarkEnd w:id="52"/>
      <w:bookmarkEnd w:id="53"/>
    </w:p>
    <w:bookmarkEnd w:id="54"/>
    <w:p w14:paraId="3B4E3ECB">
      <w:pPr>
        <w:widowControl/>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以政府部门服务支撑为基石，建立“链长+链主+链创”融合机制，优化市场营商环境；引进享誉海内外知名电商机构、加强对本土传统企业电商化培育、开展电商创新创业指导服务等多措并举，加强主体建设、促进电商引领。</w:t>
      </w:r>
    </w:p>
    <w:p w14:paraId="60D5DD70">
      <w:pPr>
        <w:spacing w:line="360" w:lineRule="auto"/>
        <w:ind w:firstLine="480" w:firstLineChars="200"/>
        <w:rPr>
          <w:rFonts w:ascii="宋体" w:hAnsi="宋体" w:eastAsia="宋体" w:cs="仿宋"/>
          <w:kern w:val="0"/>
          <w:sz w:val="24"/>
          <w:lang w:bidi="ar"/>
        </w:rPr>
      </w:pPr>
      <w:bookmarkStart w:id="55" w:name="_Hlk181319695"/>
      <w:r>
        <w:rPr>
          <w:rFonts w:hint="eastAsia" w:ascii="宋体" w:hAnsi="宋体" w:eastAsia="宋体" w:cs="仿宋"/>
          <w:kern w:val="0"/>
          <w:sz w:val="24"/>
          <w:lang w:val="zh-CN" w:bidi="zh-CN"/>
        </w:rPr>
        <w:t>（一）优化政府部门服务支撑。</w:t>
      </w:r>
      <w:bookmarkEnd w:id="55"/>
      <w:r>
        <w:rPr>
          <w:rFonts w:hint="eastAsia" w:ascii="宋体" w:hAnsi="宋体" w:eastAsia="宋体" w:cs="仿宋"/>
          <w:bCs/>
          <w:kern w:val="0"/>
          <w:sz w:val="24"/>
          <w:lang w:bidi="ar"/>
        </w:rPr>
        <w:t>一是</w:t>
      </w:r>
      <w:r>
        <w:rPr>
          <w:rFonts w:hint="eastAsia" w:ascii="宋体" w:hAnsi="宋体" w:eastAsia="宋体" w:cs="仿宋"/>
          <w:kern w:val="0"/>
          <w:sz w:val="24"/>
          <w:lang w:bidi="ar"/>
        </w:rPr>
        <w:t>成立专业的招商公司来承担招商引资职能，实现从政府主导向企业主导或政企合作模式的转变，优化招商引资专业服务。</w:t>
      </w:r>
      <w:r>
        <w:rPr>
          <w:rFonts w:hint="eastAsia" w:ascii="宋体" w:hAnsi="宋体" w:eastAsia="宋体" w:cs="仿宋"/>
          <w:bCs/>
          <w:kern w:val="0"/>
          <w:sz w:val="24"/>
          <w:lang w:bidi="ar"/>
        </w:rPr>
        <w:t>二是</w:t>
      </w:r>
      <w:r>
        <w:rPr>
          <w:rFonts w:hint="eastAsia" w:ascii="宋体" w:hAnsi="宋体" w:eastAsia="宋体" w:cs="仿宋"/>
          <w:kern w:val="0"/>
          <w:sz w:val="24"/>
          <w:lang w:bidi="ar"/>
        </w:rPr>
        <w:t>锚定打造优质的营商环境和产业生态，加快推进数据互联互通，扩大“一网通办”服务范围，健全政务服务“一窗通办”综合窗口服务，推进政务服务“异地办理”，政府服务人员主动更新业务技能、形成专业素养、提升服务水平。</w:t>
      </w:r>
      <w:r>
        <w:rPr>
          <w:rFonts w:hint="eastAsia" w:ascii="宋体" w:hAnsi="宋体" w:eastAsia="宋体" w:cs="仿宋"/>
          <w:b/>
          <w:bCs/>
          <w:kern w:val="0"/>
          <w:sz w:val="24"/>
          <w:lang w:bidi="ar"/>
        </w:rPr>
        <w:t>三</w:t>
      </w:r>
      <w:r>
        <w:rPr>
          <w:rFonts w:hint="eastAsia" w:ascii="宋体" w:hAnsi="宋体" w:eastAsia="宋体" w:cs="仿宋"/>
          <w:bCs/>
          <w:kern w:val="0"/>
          <w:sz w:val="24"/>
          <w:lang w:bidi="ar"/>
        </w:rPr>
        <w:t>是</w:t>
      </w:r>
      <w:r>
        <w:rPr>
          <w:rFonts w:hint="eastAsia" w:ascii="宋体" w:hAnsi="宋体" w:eastAsia="宋体" w:cs="仿宋"/>
          <w:kern w:val="0"/>
          <w:sz w:val="24"/>
          <w:lang w:bidi="ar"/>
        </w:rPr>
        <w:t>建立“链长+链主+链创”融合机制，针对新能源和智能网联汽车产业、新材料产业、生物科技产业以及</w:t>
      </w:r>
      <w:r>
        <w:rPr>
          <w:rFonts w:ascii="宋体" w:hAnsi="宋体" w:eastAsia="宋体" w:cs="仿宋"/>
          <w:kern w:val="0"/>
          <w:sz w:val="24"/>
          <w:lang w:bidi="ar"/>
        </w:rPr>
        <w:t>优质粮油（红薯、玉米、小麦 水稻、菜籽油）产业链、中药材产业链、食用菌产业链、木本油料（油橄榄）产业链、果蔬茶产业链、黄酒（小窖酒）产业链、设施 渔业产业链等七个重点农业产业链</w:t>
      </w:r>
      <w:r>
        <w:rPr>
          <w:rFonts w:hint="eastAsia" w:ascii="宋体" w:hAnsi="宋体" w:eastAsia="宋体" w:cs="仿宋"/>
          <w:kern w:val="0"/>
          <w:sz w:val="24"/>
          <w:lang w:bidi="ar"/>
        </w:rPr>
        <w:t>，由相关区领导分别担任链长，统筹协调各方面的资源，龙头企业担任“链主”，发挥导航引领作用，依托专家库负责“链创”，探索构建“产学研用”一体化，建好公共平台，吸引相关企业和资源集聚，从而形成生态协同效应，大幅提升电商产业的整体竞争力。</w:t>
      </w:r>
    </w:p>
    <w:p w14:paraId="29F26326">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（二）引进知名电商机构。</w:t>
      </w:r>
      <w:r>
        <w:rPr>
          <w:rFonts w:hint="eastAsia" w:ascii="宋体" w:hAnsi="宋体" w:eastAsia="宋体" w:cs="仿宋"/>
          <w:kern w:val="0"/>
          <w:sz w:val="24"/>
          <w:lang w:bidi="ar"/>
        </w:rPr>
        <w:t>以十堰北数字电商中心为依托，吸引亚马逊、沃尔玛、速卖通、</w:t>
      </w:r>
      <w:bookmarkStart w:id="56" w:name="_Hlk182527296"/>
      <w:r>
        <w:rPr>
          <w:rFonts w:hint="eastAsia" w:ascii="宋体" w:hAnsi="宋体" w:eastAsia="宋体" w:cs="仿宋"/>
          <w:kern w:val="0"/>
          <w:sz w:val="24"/>
          <w:lang w:bidi="ar"/>
        </w:rPr>
        <w:t>京东、</w:t>
      </w:r>
      <w:r>
        <w:rPr>
          <w:rFonts w:ascii="宋体" w:hAnsi="宋体" w:eastAsia="宋体" w:cs="Times New Roman"/>
          <w:kern w:val="0"/>
          <w:sz w:val="24"/>
          <w:lang w:bidi="ar"/>
        </w:rPr>
        <w:t>1688</w:t>
      </w:r>
      <w:bookmarkEnd w:id="56"/>
      <w:r>
        <w:rPr>
          <w:rFonts w:hint="eastAsia" w:ascii="宋体" w:hAnsi="宋体" w:eastAsia="宋体" w:cs="Times New Roman"/>
          <w:kern w:val="0"/>
          <w:sz w:val="24"/>
          <w:lang w:bidi="ar"/>
        </w:rPr>
        <w:t>、希音等海内外电子商务平台企业的发展部门落地郧阳，提供培训指导、品牌孵化与资源对接等服务。积极引进拼多多、抖音、快手等优质第三方电商服务平台，提供软件服务、营销服务、运营服务、仓储服务、支付服务等，</w:t>
      </w:r>
      <w:r>
        <w:rPr>
          <w:rFonts w:hint="eastAsia" w:ascii="宋体" w:hAnsi="宋体" w:eastAsia="宋体" w:cs="仿宋"/>
          <w:kern w:val="0"/>
          <w:sz w:val="24"/>
          <w:lang w:bidi="ar"/>
        </w:rPr>
        <w:t>吸收先进管理与发展经验，促进优质电子商务产业项目落地实施。</w:t>
      </w:r>
    </w:p>
    <w:p w14:paraId="3E10FD8C">
      <w:pPr>
        <w:spacing w:line="360" w:lineRule="auto"/>
        <w:ind w:firstLine="480" w:firstLineChars="200"/>
        <w:rPr>
          <w:rFonts w:ascii="宋体" w:hAnsi="宋体" w:eastAsia="宋体" w:cs="仿宋"/>
          <w:kern w:val="0"/>
          <w:sz w:val="24"/>
          <w:lang w:bidi="ar"/>
        </w:rPr>
      </w:pPr>
      <w:bookmarkStart w:id="57" w:name="_Hlk181320389"/>
      <w:r>
        <w:rPr>
          <w:rFonts w:hint="eastAsia" w:ascii="宋体" w:hAnsi="宋体" w:eastAsia="宋体" w:cs="仿宋"/>
          <w:kern w:val="0"/>
          <w:sz w:val="24"/>
          <w:lang w:val="zh-CN" w:bidi="zh-CN"/>
        </w:rPr>
        <w:t>（三）加强对本土传统企业电商化培育。</w:t>
      </w:r>
      <w:bookmarkEnd w:id="57"/>
      <w:r>
        <w:rPr>
          <w:rFonts w:hint="eastAsia" w:ascii="宋体" w:hAnsi="宋体" w:eastAsia="宋体" w:cs="仿宋"/>
          <w:kern w:val="0"/>
          <w:sz w:val="24"/>
          <w:lang w:bidi="ar"/>
        </w:rPr>
        <w:t>针对本土传统企业进行分类指导，提高数据的获取和应用能力，综合运用大数据、物联网、云计算等技术为消费者提供更为精准和个性化的服务。培育本土电子商务龙头企业，</w:t>
      </w:r>
      <w:r>
        <w:rPr>
          <w:rFonts w:hint="eastAsia" w:ascii="宋体" w:hAnsi="宋体" w:eastAsia="宋体" w:cs="仿宋"/>
          <w:kern w:val="0"/>
          <w:sz w:val="24"/>
          <w:lang w:bidi="zh-CN"/>
        </w:rPr>
        <w:t>大力推进以湖北五小电子商务有限公司、郧阳区供销电子商务有限公司、湖北美尔滋食品有限公司、湖北鑫榄源油橄榄科技有限公司等为代表的电子商务应用企业群，</w:t>
      </w:r>
      <w:r>
        <w:rPr>
          <w:rFonts w:hint="eastAsia" w:ascii="宋体" w:hAnsi="宋体" w:eastAsia="宋体" w:cs="仿宋"/>
          <w:kern w:val="0"/>
          <w:sz w:val="24"/>
          <w:lang w:bidi="ar"/>
        </w:rPr>
        <w:t>实现多头领跑。积极引导传统制造业、生产加工业企业利用电子商务平台拓展业务范围，创新销售模式，推动产业升级。支持商贸流通企业通过线上线下融合，推进传统业务与电子商务整合，拓展销售渠道。</w:t>
      </w:r>
    </w:p>
    <w:p w14:paraId="70CB6F9E">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（四）开启电商</w:t>
      </w:r>
      <w:bookmarkStart w:id="58" w:name="_Hlk181320911"/>
      <w:r>
        <w:rPr>
          <w:rFonts w:hint="eastAsia" w:ascii="宋体" w:hAnsi="宋体" w:eastAsia="宋体" w:cs="仿宋"/>
          <w:kern w:val="0"/>
          <w:sz w:val="24"/>
          <w:lang w:bidi="ar"/>
        </w:rPr>
        <w:t>飞地引培模式。贯彻“借地融智”发展思路，在武汉、北京、西安等地创建电商飞地园区，招引高层次团队到“电商飞地”创新创业，通过“孵化在飞地、落地在郧阳，引智在飞地、用智在郧阳，运营在飞地、制造在郧阳”的发展路径，实现产业上深度对接、创新上深度共享、资源上深度联通、人才上深度共用。</w:t>
      </w:r>
    </w:p>
    <w:p w14:paraId="3287A030">
      <w:pPr>
        <w:spacing w:line="360" w:lineRule="auto"/>
        <w:ind w:firstLine="480" w:firstLineChars="200"/>
        <w:rPr>
          <w:rFonts w:ascii="宋体" w:hAnsi="宋体" w:eastAsia="宋体" w:cs="仿宋"/>
          <w:kern w:val="0"/>
          <w:sz w:val="24"/>
          <w:lang w:val="zh-CN" w:bidi="zh-CN"/>
        </w:rPr>
      </w:pPr>
      <w:r>
        <w:rPr>
          <w:rFonts w:hint="eastAsia" w:ascii="宋体" w:hAnsi="宋体" w:eastAsia="宋体" w:cs="仿宋"/>
          <w:kern w:val="0"/>
          <w:sz w:val="24"/>
          <w:lang w:val="zh-CN" w:bidi="zh-CN"/>
        </w:rPr>
        <w:t>（五）开展电商创新创业指导服务。</w:t>
      </w:r>
      <w:bookmarkEnd w:id="58"/>
      <w:r>
        <w:rPr>
          <w:rFonts w:hint="eastAsia" w:ascii="宋体" w:hAnsi="宋体" w:eastAsia="宋体" w:cs="仿宋"/>
          <w:kern w:val="0"/>
          <w:sz w:val="24"/>
          <w:lang w:val="zh-CN" w:bidi="zh-CN"/>
        </w:rPr>
        <w:t xml:space="preserve">鼓励高校对本土电商创新创业进行指导，建立电商企业与高校合作机制，组建专家数据库，依托专业团队对专业性、技术性强的项目进行投资可行性和经济效益论证。推进政府与高校、科研院所的产学研协同合作育人，加大对高校、科研院所的创新创业项目支持，以破解电商企业缺乏与人才招引留用难题，为招商引资、人才引进等工作打开新局面。 </w:t>
      </w:r>
    </w:p>
    <w:p w14:paraId="06ED16F0">
      <w:pPr>
        <w:pStyle w:val="3"/>
        <w:rPr>
          <w:rFonts w:asciiTheme="minorEastAsia" w:hAnsiTheme="minorEastAsia" w:eastAsiaTheme="minorEastAsia"/>
          <w:sz w:val="28"/>
          <w:szCs w:val="28"/>
        </w:rPr>
      </w:pPr>
      <w:bookmarkStart w:id="59" w:name="_Toc181666871"/>
      <w:bookmarkStart w:id="60" w:name="_Toc183083285"/>
      <w:r>
        <w:rPr>
          <w:rFonts w:hint="eastAsia" w:asciiTheme="minorEastAsia" w:hAnsiTheme="minorEastAsia" w:eastAsiaTheme="minorEastAsia"/>
          <w:sz w:val="28"/>
          <w:szCs w:val="28"/>
        </w:rPr>
        <w:t>八、打造数字消费场景</w:t>
      </w:r>
      <w:bookmarkEnd w:id="59"/>
      <w:bookmarkEnd w:id="60"/>
    </w:p>
    <w:p w14:paraId="2B68A700">
      <w:pPr>
        <w:adjustRightInd w:val="0"/>
        <w:spacing w:line="360" w:lineRule="auto"/>
        <w:ind w:firstLine="480" w:firstLineChars="200"/>
        <w:rPr>
          <w:rFonts w:ascii="宋体" w:hAnsi="宋体" w:eastAsia="宋体" w:cs="Times New Roman"/>
          <w:bCs/>
          <w:sz w:val="24"/>
          <w:lang w:bidi="ar"/>
        </w:rPr>
      </w:pPr>
      <w:r>
        <w:rPr>
          <w:rFonts w:hint="eastAsia" w:ascii="宋体" w:hAnsi="宋体" w:eastAsia="宋体" w:cs="Times New Roman"/>
          <w:bCs/>
          <w:sz w:val="24"/>
          <w:lang w:bidi="ar"/>
        </w:rPr>
        <w:t>依托文商旅街区，提供沉浸式体验服务，促进消费拉动经济增长，推动供需两端提质升级，不断开拓新的增长点，势必把新消费“流量”转化为电子商务发展的强劲“增量”。</w:t>
      </w:r>
    </w:p>
    <w:p w14:paraId="1BD1E1F3">
      <w:pPr>
        <w:spacing w:line="360" w:lineRule="auto"/>
        <w:ind w:firstLine="480" w:firstLineChars="200"/>
        <w:rPr>
          <w:rFonts w:ascii="宋体" w:hAnsi="宋体" w:eastAsia="宋体" w:cs="Times New Roman"/>
          <w:sz w:val="24"/>
          <w:lang w:bidi="ar"/>
        </w:rPr>
      </w:pPr>
      <w:r>
        <w:rPr>
          <w:rFonts w:hint="eastAsia" w:ascii="宋体" w:hAnsi="宋体" w:eastAsia="宋体" w:cs="仿宋"/>
          <w:kern w:val="0"/>
          <w:sz w:val="24"/>
          <w:lang w:val="zh-CN" w:bidi="zh-CN"/>
        </w:rPr>
        <w:t>（一）谋划构建沉浸体验式场景。</w:t>
      </w:r>
      <w:r>
        <w:rPr>
          <w:rFonts w:hint="eastAsia" w:ascii="宋体" w:hAnsi="宋体" w:eastAsia="宋体" w:cs="Times New Roman"/>
          <w:sz w:val="24"/>
          <w:lang w:bidi="ar"/>
        </w:rPr>
        <w:t>一是在技术应用方面，加速“智能+”领域创新，坚持以消费升级为导向的产业发展，对武当不夜城、汉江一河两岸风情街、郧阳老城等综合商旅街区中的节点演艺、特色美食、科技体验、互动娱乐、文创零售等业态进行信息整合，积极运用增强现实（</w:t>
      </w:r>
      <w:r>
        <w:rPr>
          <w:rFonts w:ascii="宋体" w:hAnsi="宋体" w:eastAsia="宋体" w:cs="Times New Roman"/>
          <w:sz w:val="24"/>
          <w:lang w:bidi="ar"/>
        </w:rPr>
        <w:t>AR</w:t>
      </w:r>
      <w:r>
        <w:rPr>
          <w:rFonts w:hint="eastAsia" w:ascii="宋体" w:hAnsi="宋体" w:eastAsia="宋体" w:cs="Times New Roman"/>
          <w:sz w:val="24"/>
          <w:lang w:bidi="ar"/>
        </w:rPr>
        <w:t>）技术，将虚拟新叠加到现实世界中，增强消费者交互体验；积极运用虚拟现实（</w:t>
      </w:r>
      <w:r>
        <w:rPr>
          <w:rFonts w:ascii="宋体" w:hAnsi="宋体" w:eastAsia="宋体" w:cs="Times New Roman"/>
          <w:sz w:val="24"/>
          <w:lang w:bidi="ar"/>
        </w:rPr>
        <w:t>VR</w:t>
      </w:r>
      <w:r>
        <w:rPr>
          <w:rFonts w:hint="eastAsia" w:ascii="宋体" w:hAnsi="宋体" w:eastAsia="宋体" w:cs="Times New Roman"/>
          <w:sz w:val="24"/>
          <w:lang w:bidi="ar"/>
        </w:rPr>
        <w:t>）技术，创建虚拟三维立体环境，增强消费者对电商产品的本体感知，改善消费者购物体验；积极运用人工智能（</w:t>
      </w:r>
      <w:r>
        <w:rPr>
          <w:rFonts w:ascii="宋体" w:hAnsi="宋体" w:eastAsia="宋体" w:cs="Times New Roman"/>
          <w:sz w:val="24"/>
          <w:lang w:bidi="ar"/>
        </w:rPr>
        <w:t>AI</w:t>
      </w:r>
      <w:r>
        <w:rPr>
          <w:rFonts w:hint="eastAsia" w:ascii="宋体" w:hAnsi="宋体" w:eastAsia="宋体" w:cs="Times New Roman"/>
          <w:sz w:val="24"/>
          <w:lang w:bidi="ar"/>
        </w:rPr>
        <w:t>）进行个性化推荐、导购，优化数字消费场景的设计和功能。二是在内容创新方面，着力挖掘与培育具有独特魅力的</w:t>
      </w:r>
      <w:r>
        <w:rPr>
          <w:rFonts w:ascii="宋体" w:hAnsi="宋体" w:eastAsia="宋体" w:cs="Times New Roman"/>
          <w:sz w:val="24"/>
          <w:lang w:bidi="ar"/>
        </w:rPr>
        <w:t>IP</w:t>
      </w:r>
      <w:r>
        <w:rPr>
          <w:rFonts w:hint="eastAsia" w:ascii="宋体" w:hAnsi="宋体" w:eastAsia="宋体" w:cs="Times New Roman"/>
          <w:sz w:val="24"/>
          <w:lang w:bidi="ar"/>
        </w:rPr>
        <w:t>资源，将</w:t>
      </w:r>
      <w:r>
        <w:rPr>
          <w:rFonts w:ascii="宋体" w:hAnsi="宋体" w:eastAsia="宋体" w:cs="Times New Roman"/>
          <w:sz w:val="24"/>
          <w:lang w:bidi="ar"/>
        </w:rPr>
        <w:t>IP</w:t>
      </w:r>
      <w:r>
        <w:rPr>
          <w:rFonts w:hint="eastAsia" w:ascii="宋体" w:hAnsi="宋体" w:eastAsia="宋体" w:cs="Times New Roman"/>
          <w:sz w:val="24"/>
          <w:lang w:bidi="ar"/>
        </w:rPr>
        <w:t>元素融入数字消费场景，增强消费者情感共鸣与品牌忠诚度；结合热点事件与节日庆典，进行创意策划和主题设计，提高消费者的参与度和粘性。三是在场景界面设计方面，依据消费者需求与行为习惯，设计合理的数字消费场景布局和流程，注重场景细节和氛围营造，提高用户的沉浸感和代入感；采用简洁明了的界面风格和色彩搭配，提高消费者的视觉体验。</w:t>
      </w:r>
    </w:p>
    <w:p w14:paraId="5504A4D1">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val="zh-CN" w:bidi="zh-CN"/>
        </w:rPr>
        <w:t>（二）提供产品个性定制服务。</w:t>
      </w:r>
      <w:r>
        <w:rPr>
          <w:rFonts w:hint="eastAsia" w:ascii="宋体" w:hAnsi="宋体" w:eastAsia="宋体" w:cs="仿宋"/>
          <w:kern w:val="0"/>
          <w:sz w:val="24"/>
          <w:lang w:bidi="ar"/>
        </w:rPr>
        <w:t>一是着重进行智能导购新场景设计，立足年轻群体的个性表达与偏好的新需求，提供精准数字消费产品定制服务，促使新场景与新服务加快融合，释放新消费的蓬勃活力。二是在电商供给品质、提升品牌影响力方面发挥文化创意产品的积极作用，推动地方文化与电子商务融合发展。三是针对消费者进行前期引流，谋划建设“VR全景智慧文旅地图”，结合人工智能，提供虚拟讲解与相互双重体验，推出“郧云游”线上线下相结合的产品，运用大数据技术开展精准营销，打造文旅消费新业态。</w:t>
      </w:r>
    </w:p>
    <w:p w14:paraId="198FFFA2">
      <w:pPr>
        <w:spacing w:line="360" w:lineRule="auto"/>
        <w:ind w:firstLine="480" w:firstLineChars="200"/>
        <w:rPr>
          <w:rFonts w:ascii="宋体" w:hAnsi="宋体" w:eastAsia="宋体" w:cs="Times New Roman"/>
          <w:bCs/>
          <w:kern w:val="0"/>
          <w:sz w:val="24"/>
          <w:lang w:bidi="ar"/>
        </w:rPr>
      </w:pPr>
      <w:r>
        <w:rPr>
          <w:rFonts w:hint="eastAsia" w:ascii="宋体" w:hAnsi="宋体" w:eastAsia="宋体" w:cs="仿宋"/>
          <w:kern w:val="0"/>
          <w:sz w:val="24"/>
          <w:lang w:val="zh-CN" w:bidi="zh-CN"/>
        </w:rPr>
        <w:t>（三）推动建设新型发展模式。</w:t>
      </w:r>
      <w:r>
        <w:rPr>
          <w:rFonts w:hint="eastAsia" w:ascii="宋体" w:hAnsi="宋体" w:eastAsia="宋体" w:cs="Times New Roman"/>
          <w:bCs/>
          <w:kern w:val="0"/>
          <w:sz w:val="24"/>
          <w:lang w:bidi="ar"/>
        </w:rPr>
        <w:t>推动建设“线上+线下”“业态+场景”的数字消费融合新发展模式。一是鼓励以激发逻辑取代搜索逻辑，采用“社交电商”“直播电商”“内容电商”“即时零售”等多种形式，增强人性化、高效化的购物体验。二是利用互联网、大数据、人工智能等先进技术，打破传统电子商务的物理和空间限制，保障消费者能够随时随地购买商品与享受服务；鼓励商家接触更广泛消费者群体，增加销售机会与市场份额，拓宽电子商务的市场边界。三是助力供应链的数字化与智能化升级，实现供应链的透明化、可追溯化和智能化管理，提高供应链的效率和准确性，降低运营成本，提升商品质量，增强商家的竞争力。</w:t>
      </w:r>
    </w:p>
    <w:p w14:paraId="05745FF4">
      <w:pPr>
        <w:rPr>
          <w:rFonts w:ascii="宋体" w:hAnsi="宋体" w:eastAsia="宋体" w:cs="Times New Roman"/>
          <w:bCs/>
          <w:kern w:val="0"/>
          <w:sz w:val="24"/>
          <w:lang w:bidi="ar"/>
        </w:rPr>
      </w:pPr>
      <w:r>
        <w:rPr>
          <w:rFonts w:hint="eastAsia" w:ascii="宋体" w:hAnsi="宋体" w:eastAsia="宋体" w:cs="Times New Roman"/>
          <w:bCs/>
          <w:kern w:val="0"/>
          <w:sz w:val="24"/>
          <w:lang w:bidi="ar"/>
        </w:rPr>
        <w:br w:type="page"/>
      </w:r>
    </w:p>
    <w:p w14:paraId="756BC2AC">
      <w:pPr>
        <w:pStyle w:val="2"/>
        <w:jc w:val="center"/>
        <w:rPr>
          <w:rFonts w:hint="default" w:ascii="黑体" w:hAnsi="黑体" w:eastAsia="黑体"/>
          <w:sz w:val="36"/>
          <w:szCs w:val="36"/>
          <w:lang w:bidi="ar"/>
        </w:rPr>
      </w:pPr>
      <w:bookmarkStart w:id="61" w:name="_Toc181666872"/>
      <w:bookmarkStart w:id="62" w:name="_Toc183083286"/>
      <w:r>
        <w:rPr>
          <w:rFonts w:ascii="黑体" w:hAnsi="黑体" w:eastAsia="黑体"/>
          <w:sz w:val="36"/>
          <w:szCs w:val="36"/>
          <w:lang w:bidi="ar"/>
        </w:rPr>
        <w:t>第五章 重点工程</w:t>
      </w:r>
      <w:bookmarkEnd w:id="61"/>
      <w:bookmarkEnd w:id="62"/>
    </w:p>
    <w:p w14:paraId="0A26FF0B">
      <w:pPr>
        <w:pStyle w:val="3"/>
        <w:rPr>
          <w:rFonts w:asciiTheme="minorEastAsia" w:hAnsiTheme="minorEastAsia" w:eastAsiaTheme="minorEastAsia"/>
          <w:sz w:val="28"/>
          <w:szCs w:val="28"/>
        </w:rPr>
      </w:pPr>
      <w:bookmarkStart w:id="63" w:name="_Toc183083287"/>
      <w:bookmarkStart w:id="64" w:name="_Toc23166"/>
      <w:bookmarkStart w:id="65" w:name="_Toc181666873"/>
      <w:r>
        <w:rPr>
          <w:rFonts w:hint="eastAsia" w:asciiTheme="minorEastAsia" w:hAnsiTheme="minorEastAsia" w:eastAsiaTheme="minorEastAsia"/>
          <w:sz w:val="28"/>
          <w:szCs w:val="28"/>
        </w:rPr>
        <w:t>一、电商产业园区集聚工程</w:t>
      </w:r>
      <w:bookmarkEnd w:id="63"/>
      <w:bookmarkEnd w:id="64"/>
      <w:bookmarkEnd w:id="65"/>
    </w:p>
    <w:p w14:paraId="2705E97E">
      <w:pPr>
        <w:widowControl/>
        <w:spacing w:before="20"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rPr>
        <w:t>该工程是</w:t>
      </w:r>
      <w:r>
        <w:rPr>
          <w:rFonts w:ascii="宋体" w:hAnsi="宋体" w:eastAsia="宋体" w:cs="仿宋"/>
          <w:kern w:val="0"/>
          <w:sz w:val="24"/>
        </w:rPr>
        <w:t>经济新常态下政府引导电子商务发展、增强电子商务应用的重要抓</w:t>
      </w:r>
      <w:r>
        <w:rPr>
          <w:rFonts w:hint="eastAsia" w:ascii="宋体" w:hAnsi="宋体" w:eastAsia="宋体" w:cs="仿宋"/>
          <w:kern w:val="0"/>
          <w:sz w:val="24"/>
        </w:rPr>
        <w:t>手，也</w:t>
      </w:r>
      <w:r>
        <w:rPr>
          <w:rFonts w:ascii="宋体" w:hAnsi="宋体" w:eastAsia="宋体" w:cs="仿宋"/>
          <w:kern w:val="0"/>
          <w:sz w:val="24"/>
        </w:rPr>
        <w:t>是实现电子商务产业集聚</w:t>
      </w:r>
      <w:r>
        <w:rPr>
          <w:rFonts w:hint="eastAsia" w:ascii="宋体" w:hAnsi="宋体" w:eastAsia="宋体" w:cs="仿宋"/>
          <w:kern w:val="0"/>
          <w:sz w:val="24"/>
        </w:rPr>
        <w:t>、</w:t>
      </w:r>
      <w:r>
        <w:rPr>
          <w:rFonts w:ascii="宋体" w:hAnsi="宋体" w:eastAsia="宋体" w:cs="仿宋"/>
          <w:kern w:val="0"/>
          <w:sz w:val="24"/>
        </w:rPr>
        <w:t>业态不断创新的有效方式。</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7238"/>
      </w:tblGrid>
      <w:tr w14:paraId="5EFC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dxa"/>
            <w:tcBorders>
              <w:top w:val="single" w:color="auto" w:sz="4" w:space="0"/>
              <w:left w:val="single" w:color="auto" w:sz="4" w:space="0"/>
              <w:bottom w:val="single" w:color="auto" w:sz="4" w:space="0"/>
              <w:right w:val="single" w:color="auto" w:sz="4" w:space="0"/>
              <w:tl2br w:val="nil"/>
              <w:tr2bl w:val="nil"/>
            </w:tcBorders>
          </w:tcPr>
          <w:p w14:paraId="636A8B0B">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w:t>
            </w:r>
            <w:r>
              <w:rPr>
                <w:rFonts w:hint="eastAsia" w:ascii="宋体" w:hAnsi="宋体" w:eastAsia="宋体" w:cs="仿宋"/>
                <w:b/>
                <w:kern w:val="0"/>
                <w:sz w:val="24"/>
                <w:lang w:bidi="zh-CN"/>
              </w:rPr>
              <w:t>一</w:t>
            </w:r>
          </w:p>
        </w:tc>
        <w:tc>
          <w:tcPr>
            <w:tcW w:w="7238" w:type="dxa"/>
            <w:tcBorders>
              <w:top w:val="single" w:color="auto" w:sz="4" w:space="0"/>
              <w:left w:val="single" w:color="auto" w:sz="4" w:space="0"/>
              <w:bottom w:val="single" w:color="auto" w:sz="4" w:space="0"/>
              <w:right w:val="single" w:color="auto" w:sz="4" w:space="0"/>
              <w:tl2br w:val="nil"/>
              <w:tr2bl w:val="nil"/>
            </w:tcBorders>
          </w:tcPr>
          <w:p w14:paraId="18E645E4">
            <w:pPr>
              <w:autoSpaceDE w:val="0"/>
              <w:autoSpaceDN w:val="0"/>
              <w:spacing w:before="153" w:line="360" w:lineRule="auto"/>
              <w:jc w:val="center"/>
              <w:rPr>
                <w:rFonts w:ascii="宋体" w:hAnsi="宋体" w:eastAsia="宋体" w:cs="仿宋"/>
                <w:b/>
                <w:kern w:val="0"/>
                <w:sz w:val="24"/>
                <w:lang w:val="zh-CN" w:bidi="zh-CN"/>
              </w:rPr>
            </w:pPr>
            <w:r>
              <w:rPr>
                <w:rFonts w:hint="eastAsia" w:ascii="宋体" w:hAnsi="宋体" w:eastAsia="宋体" w:cs="仿宋"/>
                <w:b/>
                <w:kern w:val="0"/>
                <w:sz w:val="24"/>
                <w:lang w:val="zh-CN" w:bidi="zh-CN"/>
              </w:rPr>
              <w:t>电商产业园区集聚工程</w:t>
            </w:r>
          </w:p>
        </w:tc>
      </w:tr>
      <w:tr w14:paraId="05E5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l2br w:val="nil"/>
              <w:tr2bl w:val="nil"/>
            </w:tcBorders>
          </w:tcPr>
          <w:p w14:paraId="513E00C2">
            <w:pPr>
              <w:widowControl/>
              <w:spacing w:before="20" w:line="360" w:lineRule="auto"/>
              <w:rPr>
                <w:rFonts w:ascii="宋体" w:hAnsi="宋体" w:eastAsia="宋体" w:cs="仿宋"/>
                <w:kern w:val="0"/>
                <w:sz w:val="24"/>
                <w:lang w:bidi="zh-CN"/>
              </w:rPr>
            </w:pPr>
            <w:r>
              <w:rPr>
                <w:rFonts w:hint="eastAsia" w:ascii="宋体" w:hAnsi="宋体" w:eastAsia="宋体" w:cs="仿宋"/>
                <w:b/>
                <w:kern w:val="0"/>
                <w:sz w:val="24"/>
                <w:lang w:bidi="zh-CN"/>
              </w:rPr>
              <w:t>*</w:t>
            </w:r>
            <w:bookmarkStart w:id="66" w:name="_Toc75334218"/>
            <w:r>
              <w:rPr>
                <w:rFonts w:hint="eastAsia" w:ascii="宋体" w:hAnsi="宋体" w:eastAsia="宋体" w:cs="仿宋"/>
                <w:b/>
                <w:kern w:val="0"/>
                <w:sz w:val="24"/>
                <w:lang w:bidi="zh-CN"/>
              </w:rPr>
              <w:t>园区集聚集约发展</w:t>
            </w:r>
            <w:bookmarkEnd w:id="66"/>
            <w:r>
              <w:rPr>
                <w:rFonts w:hint="eastAsia" w:ascii="宋体" w:hAnsi="宋体" w:eastAsia="宋体" w:cs="仿宋"/>
                <w:b/>
                <w:kern w:val="0"/>
                <w:sz w:val="24"/>
                <w:lang w:bidi="zh-CN"/>
              </w:rPr>
              <w:t>。</w:t>
            </w:r>
            <w:r>
              <w:rPr>
                <w:rFonts w:hint="eastAsia" w:ascii="宋体" w:hAnsi="宋体" w:eastAsia="宋体" w:cs="仿宋"/>
                <w:kern w:val="0"/>
                <w:sz w:val="24"/>
                <w:lang w:bidi="zh-CN"/>
              </w:rPr>
              <w:t>加快电子商务产业集聚发展，重点推动十堰北数字电商中心、</w:t>
            </w:r>
            <w:r>
              <w:rPr>
                <w:rFonts w:ascii="宋体" w:hAnsi="宋体" w:eastAsia="宋体" w:cs="仿宋"/>
                <w:kern w:val="0"/>
                <w:sz w:val="24"/>
                <w:lang w:bidi="zh-CN"/>
              </w:rPr>
              <w:t>郧阳现代农业电商产业园</w:t>
            </w:r>
            <w:r>
              <w:rPr>
                <w:rFonts w:hint="eastAsia" w:ascii="宋体" w:hAnsi="宋体" w:eastAsia="宋体" w:cs="仿宋"/>
                <w:kern w:val="0"/>
                <w:sz w:val="24"/>
                <w:lang w:bidi="zh-CN"/>
              </w:rPr>
              <w:t>、</w:t>
            </w:r>
            <w:r>
              <w:rPr>
                <w:rFonts w:ascii="宋体" w:hAnsi="宋体" w:eastAsia="宋体" w:cs="仿宋"/>
                <w:kern w:val="0"/>
                <w:sz w:val="24"/>
                <w:lang w:bidi="zh-CN"/>
              </w:rPr>
              <w:t>胡家营轻工产业园、鲍峡食品加工产业园、谭山石材产业园</w:t>
            </w:r>
            <w:r>
              <w:rPr>
                <w:rFonts w:hint="eastAsia" w:ascii="宋体" w:hAnsi="宋体" w:eastAsia="宋体" w:cs="仿宋"/>
                <w:kern w:val="0"/>
                <w:sz w:val="24"/>
                <w:lang w:bidi="zh-CN"/>
              </w:rPr>
              <w:t>、</w:t>
            </w:r>
            <w:r>
              <w:rPr>
                <w:rFonts w:ascii="宋体" w:hAnsi="宋体" w:eastAsia="宋体" w:cs="仿宋"/>
                <w:kern w:val="0"/>
                <w:sz w:val="24"/>
                <w:lang w:bidi="zh-CN"/>
              </w:rPr>
              <w:t>华阳智能制造产业园、先锋模具精密智能制造园</w:t>
            </w:r>
            <w:r>
              <w:rPr>
                <w:rFonts w:hint="eastAsia" w:ascii="宋体" w:hAnsi="宋体" w:eastAsia="宋体" w:cs="仿宋"/>
                <w:kern w:val="0"/>
                <w:sz w:val="24"/>
                <w:lang w:bidi="zh-CN"/>
              </w:rPr>
              <w:t>、</w:t>
            </w:r>
            <w:r>
              <w:rPr>
                <w:rFonts w:ascii="宋体" w:hAnsi="宋体" w:eastAsia="宋体" w:cs="仿宋"/>
                <w:kern w:val="0"/>
                <w:sz w:val="24"/>
                <w:lang w:bidi="zh-CN"/>
              </w:rPr>
              <w:t>龙岗精密智能制造园</w:t>
            </w:r>
            <w:r>
              <w:rPr>
                <w:rFonts w:hint="eastAsia" w:ascii="宋体" w:hAnsi="宋体" w:eastAsia="宋体" w:cs="仿宋"/>
                <w:kern w:val="0"/>
                <w:sz w:val="24"/>
                <w:lang w:bidi="zh-CN"/>
              </w:rPr>
              <w:t>等园区发展，完善园区配套服务，支持直播基地、共享办公、创业苗圃、供应链金融、专业孵化器、加速器、众创空间发展和市场化运作，注重中小微企业创新发展的环境与土壤培育，加快电商企业集聚，打造一批高质量电商园区。加快传统电商集聚区转型升级，积极推动南化塘镇电商集聚区、</w:t>
            </w:r>
            <w:r>
              <w:rPr>
                <w:rFonts w:ascii="宋体" w:hAnsi="宋体" w:eastAsia="宋体" w:cs="仿宋"/>
                <w:kern w:val="0"/>
                <w:sz w:val="24"/>
                <w:lang w:bidi="zh-CN"/>
              </w:rPr>
              <w:t>谭家湾</w:t>
            </w:r>
            <w:r>
              <w:rPr>
                <w:rFonts w:hint="eastAsia" w:ascii="宋体" w:hAnsi="宋体" w:eastAsia="宋体" w:cs="仿宋"/>
                <w:kern w:val="0"/>
                <w:sz w:val="24"/>
                <w:lang w:bidi="zh-CN"/>
              </w:rPr>
              <w:t>镇电商集聚区跨越式发展。</w:t>
            </w:r>
          </w:p>
          <w:p w14:paraId="3B7591E6">
            <w:pPr>
              <w:widowControl/>
              <w:spacing w:line="360" w:lineRule="auto"/>
              <w:rPr>
                <w:rFonts w:ascii="宋体" w:hAnsi="宋体" w:eastAsia="宋体" w:cs="仿宋"/>
                <w:kern w:val="0"/>
                <w:sz w:val="24"/>
                <w:lang w:bidi="zh-CN"/>
              </w:rPr>
            </w:pPr>
            <w:r>
              <w:rPr>
                <w:rFonts w:hint="eastAsia" w:ascii="宋体" w:hAnsi="宋体" w:eastAsia="宋体" w:cs="仿宋"/>
                <w:b/>
                <w:kern w:val="0"/>
                <w:sz w:val="24"/>
                <w:lang w:bidi="zh-CN"/>
              </w:rPr>
              <w:t>*</w:t>
            </w:r>
            <w:bookmarkStart w:id="67" w:name="_Toc75334219"/>
            <w:r>
              <w:rPr>
                <w:rFonts w:hint="eastAsia" w:ascii="宋体" w:hAnsi="宋体" w:eastAsia="宋体" w:cs="仿宋"/>
                <w:b/>
                <w:kern w:val="0"/>
                <w:sz w:val="24"/>
                <w:lang w:bidi="zh-CN"/>
              </w:rPr>
              <w:t>示范园区引领发展</w:t>
            </w:r>
            <w:bookmarkEnd w:id="67"/>
            <w:r>
              <w:rPr>
                <w:rFonts w:hint="eastAsia" w:ascii="宋体" w:hAnsi="宋体" w:eastAsia="宋体" w:cs="仿宋"/>
                <w:b/>
                <w:kern w:val="0"/>
                <w:sz w:val="24"/>
                <w:lang w:bidi="zh-CN"/>
              </w:rPr>
              <w:t>。</w:t>
            </w:r>
            <w:r>
              <w:rPr>
                <w:rFonts w:hint="eastAsia" w:ascii="宋体" w:hAnsi="宋体" w:eastAsia="宋体" w:cs="仿宋"/>
                <w:kern w:val="0"/>
                <w:sz w:val="24"/>
                <w:lang w:bidi="zh-CN"/>
              </w:rPr>
              <w:t>聚焦数字农业、乡村振兴，以建设农产品电商供应链体系为目标，高标准开展</w:t>
            </w:r>
            <w:r>
              <w:rPr>
                <w:rFonts w:ascii="宋体" w:hAnsi="宋体" w:eastAsia="宋体" w:cs="仿宋"/>
                <w:kern w:val="0"/>
                <w:sz w:val="24"/>
                <w:lang w:bidi="zh-CN"/>
              </w:rPr>
              <w:t>郧阳区农村产业融合发展示范园</w:t>
            </w:r>
            <w:r>
              <w:rPr>
                <w:rFonts w:hint="eastAsia" w:ascii="宋体" w:hAnsi="宋体" w:eastAsia="宋体" w:cs="仿宋"/>
                <w:kern w:val="0"/>
                <w:sz w:val="24"/>
                <w:lang w:bidi="zh-CN"/>
              </w:rPr>
              <w:t>建设，推动园区数字化发展，</w:t>
            </w:r>
            <w:r>
              <w:rPr>
                <w:rFonts w:ascii="宋体" w:hAnsi="宋体" w:eastAsia="宋体" w:cs="仿宋"/>
                <w:kern w:val="0"/>
                <w:sz w:val="24"/>
                <w:lang w:bidi="zh-CN"/>
              </w:rPr>
              <w:t>进一步做大做强农产品龙头企业，发挥带头示范作用，坚持一二三产业深度融合发展，形成完整产业链，把特色农业转变为高效农业</w:t>
            </w:r>
            <w:r>
              <w:rPr>
                <w:rFonts w:hint="eastAsia" w:ascii="宋体" w:hAnsi="宋体" w:eastAsia="宋体" w:cs="仿宋"/>
                <w:kern w:val="0"/>
                <w:sz w:val="24"/>
                <w:lang w:bidi="zh-CN"/>
              </w:rPr>
              <w:t>，</w:t>
            </w:r>
            <w:r>
              <w:rPr>
                <w:rFonts w:ascii="宋体" w:hAnsi="宋体" w:eastAsia="宋体" w:cs="仿宋"/>
                <w:kern w:val="0"/>
                <w:sz w:val="24"/>
                <w:lang w:bidi="zh-CN"/>
              </w:rPr>
              <w:t>促进农业现代化发展和农民持续增收。</w:t>
            </w:r>
            <w:r>
              <w:rPr>
                <w:rFonts w:hint="eastAsia" w:ascii="宋体" w:hAnsi="宋体" w:eastAsia="宋体" w:cs="仿宋"/>
                <w:kern w:val="0"/>
                <w:sz w:val="24"/>
                <w:lang w:bidi="zh-CN"/>
              </w:rPr>
              <w:t>优化提升谭家湾食用菌产业园、新希望生猪产业园、鄂鲁淀粉产业园、鲟鱼谷产业园、鑫榄源三产融合产业园、安阳黄酒产业等全产业链，</w:t>
            </w:r>
            <w:r>
              <w:rPr>
                <w:rFonts w:ascii="宋体" w:hAnsi="宋体" w:eastAsia="宋体" w:cs="仿宋"/>
                <w:kern w:val="0"/>
                <w:sz w:val="24"/>
                <w:lang w:bidi="zh-CN"/>
              </w:rPr>
              <w:t>深化“企业+基地+合作社+农户”模式</w:t>
            </w:r>
            <w:r>
              <w:rPr>
                <w:rFonts w:hint="eastAsia" w:ascii="宋体" w:hAnsi="宋体" w:eastAsia="宋体" w:cs="仿宋"/>
                <w:kern w:val="0"/>
                <w:sz w:val="24"/>
                <w:lang w:bidi="zh-CN"/>
              </w:rPr>
              <w:t>，</w:t>
            </w:r>
            <w:r>
              <w:rPr>
                <w:rFonts w:ascii="宋体" w:hAnsi="宋体" w:eastAsia="宋体" w:cs="仿宋"/>
                <w:kern w:val="0"/>
                <w:sz w:val="24"/>
                <w:lang w:bidi="zh-CN"/>
              </w:rPr>
              <w:t>升级香菇、油橄榄、红薯“大三链”和果蔬、玉米、黄酒“小三链”建设</w:t>
            </w:r>
            <w:r>
              <w:rPr>
                <w:rFonts w:hint="eastAsia" w:ascii="宋体" w:hAnsi="宋体" w:eastAsia="宋体" w:cs="仿宋"/>
                <w:kern w:val="0"/>
                <w:sz w:val="24"/>
                <w:lang w:bidi="zh-CN"/>
              </w:rPr>
              <w:t>，</w:t>
            </w:r>
            <w:r>
              <w:rPr>
                <w:rFonts w:ascii="宋体" w:hAnsi="宋体" w:eastAsia="宋体" w:cs="仿宋"/>
                <w:kern w:val="0"/>
                <w:sz w:val="24"/>
                <w:lang w:bidi="zh-CN"/>
              </w:rPr>
              <w:t>做响青山茶叶、大柳黑猪、南化蛋鸡、安阳黄酒、五峰胎菊等特色品牌</w:t>
            </w:r>
            <w:r>
              <w:rPr>
                <w:rFonts w:hint="eastAsia" w:ascii="宋体" w:hAnsi="宋体" w:eastAsia="宋体" w:cs="仿宋"/>
                <w:kern w:val="0"/>
                <w:sz w:val="24"/>
                <w:lang w:bidi="zh-CN"/>
              </w:rPr>
              <w:t>，构建五彩农业全产业链。支持具备条件的园区积极申报和创建电子商务示范基地。</w:t>
            </w:r>
          </w:p>
          <w:p w14:paraId="27356B01">
            <w:pPr>
              <w:widowControl/>
              <w:spacing w:line="360" w:lineRule="auto"/>
              <w:rPr>
                <w:rFonts w:ascii="宋体" w:hAnsi="宋体" w:eastAsia="宋体" w:cs="仿宋"/>
                <w:kern w:val="0"/>
                <w:sz w:val="24"/>
                <w:lang w:bidi="zh-CN"/>
              </w:rPr>
            </w:pPr>
            <w:r>
              <w:rPr>
                <w:rFonts w:hint="eastAsia" w:ascii="宋体" w:hAnsi="宋体" w:eastAsia="宋体" w:cs="仿宋"/>
                <w:b/>
                <w:kern w:val="0"/>
                <w:sz w:val="24"/>
                <w:lang w:bidi="zh-CN"/>
              </w:rPr>
              <w:t>*创业平台升级发展。</w:t>
            </w:r>
            <w:r>
              <w:rPr>
                <w:rFonts w:hint="eastAsia" w:ascii="宋体" w:hAnsi="宋体" w:eastAsia="宋体" w:cs="仿宋"/>
                <w:kern w:val="0"/>
                <w:sz w:val="24"/>
                <w:lang w:bidi="zh-CN"/>
              </w:rPr>
              <w:t>依托</w:t>
            </w:r>
            <w:r>
              <w:rPr>
                <w:rFonts w:ascii="宋体" w:hAnsi="宋体" w:eastAsia="宋体" w:cs="仿宋"/>
                <w:kern w:val="0"/>
                <w:sz w:val="24"/>
                <w:lang w:bidi="zh-CN"/>
              </w:rPr>
              <w:t>惠众科创园</w:t>
            </w:r>
            <w:r>
              <w:rPr>
                <w:rFonts w:hint="eastAsia" w:ascii="宋体" w:hAnsi="宋体" w:eastAsia="宋体" w:cs="仿宋"/>
                <w:kern w:val="0"/>
                <w:sz w:val="24"/>
                <w:lang w:bidi="zh-CN"/>
              </w:rPr>
              <w:t>、</w:t>
            </w:r>
            <w:r>
              <w:rPr>
                <w:rFonts w:ascii="宋体" w:hAnsi="宋体" w:eastAsia="宋体" w:cs="仿宋"/>
                <w:kern w:val="0"/>
                <w:sz w:val="24"/>
                <w:lang w:bidi="zh-CN"/>
              </w:rPr>
              <w:t>玖偲创客空间</w:t>
            </w:r>
            <w:r>
              <w:rPr>
                <w:rFonts w:hint="eastAsia" w:ascii="宋体" w:hAnsi="宋体" w:eastAsia="宋体" w:cs="仿宋"/>
                <w:kern w:val="0"/>
                <w:sz w:val="24"/>
                <w:lang w:bidi="zh-CN"/>
              </w:rPr>
              <w:t>等创新创业载体，积极推动电子商务创业创新基地（中心）和众创空间建设。鼓励具备一定科研基础的大型企业等市场主体建立专业化众创空间。推动企业、高校、科研院所和有关公共服务机构联合共建孵化机构，为初创期、早中期企业提供公共技术、检验检测、财税会计、法律政策、教育培训、管理咨询、行业监测等服务。积极开拓创客协会、创业咖啡、创新工厂等新型创业孵化模式，在电子商务集聚区建立创客空间、中小电商孵化器等创业载体，作为创业者进入市场的前沿阵地。以市场化方式合作建设农村电子商务创业孵化点，并整合培训、物流、金融等资源，为农村创业青年提供电子商务创业一条龙服务，为农村创业青年提供交流服务平台。</w:t>
            </w:r>
          </w:p>
        </w:tc>
      </w:tr>
    </w:tbl>
    <w:p w14:paraId="27F506FB">
      <w:pPr>
        <w:pStyle w:val="3"/>
        <w:rPr>
          <w:rFonts w:asciiTheme="minorEastAsia" w:hAnsiTheme="minorEastAsia" w:eastAsiaTheme="minorEastAsia"/>
          <w:sz w:val="28"/>
          <w:szCs w:val="28"/>
        </w:rPr>
      </w:pPr>
      <w:bookmarkStart w:id="68" w:name="_Toc181666874"/>
      <w:bookmarkStart w:id="69" w:name="_Toc27512"/>
      <w:bookmarkStart w:id="70" w:name="_Toc183083288"/>
      <w:r>
        <w:rPr>
          <w:rFonts w:hint="eastAsia" w:asciiTheme="minorEastAsia" w:hAnsiTheme="minorEastAsia" w:eastAsiaTheme="minorEastAsia"/>
          <w:sz w:val="28"/>
          <w:szCs w:val="28"/>
        </w:rPr>
        <w:t>二、电子商务物流提升工程</w:t>
      </w:r>
      <w:bookmarkEnd w:id="68"/>
      <w:bookmarkEnd w:id="69"/>
      <w:bookmarkEnd w:id="70"/>
    </w:p>
    <w:p w14:paraId="6DDF6FE1">
      <w:pPr>
        <w:widowControl/>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该工程有助于提高电子商务的效率和效益，确保电子商务供应链的顺畅运作，为本地产品提供更大的市场范围和销售机会。主要包括物流配送体系建设、物流仓储设施升级、智能物流建设和绿色物流改进四个方面。</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7238"/>
      </w:tblGrid>
      <w:tr w14:paraId="1D5A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dxa"/>
            <w:tcBorders>
              <w:top w:val="single" w:color="auto" w:sz="4" w:space="0"/>
              <w:left w:val="single" w:color="auto" w:sz="4" w:space="0"/>
              <w:bottom w:val="single" w:color="auto" w:sz="4" w:space="0"/>
              <w:right w:val="single" w:color="auto" w:sz="4" w:space="0"/>
              <w:tl2br w:val="nil"/>
              <w:tr2bl w:val="nil"/>
            </w:tcBorders>
          </w:tcPr>
          <w:p w14:paraId="32120EE3">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w:t>
            </w:r>
            <w:r>
              <w:rPr>
                <w:rFonts w:hint="eastAsia" w:ascii="宋体" w:hAnsi="宋体" w:eastAsia="宋体" w:cs="仿宋"/>
                <w:b/>
                <w:kern w:val="0"/>
                <w:sz w:val="24"/>
                <w:lang w:bidi="zh-CN"/>
              </w:rPr>
              <w:t>二</w:t>
            </w:r>
          </w:p>
        </w:tc>
        <w:tc>
          <w:tcPr>
            <w:tcW w:w="7238" w:type="dxa"/>
            <w:tcBorders>
              <w:top w:val="single" w:color="auto" w:sz="4" w:space="0"/>
              <w:left w:val="single" w:color="auto" w:sz="4" w:space="0"/>
              <w:bottom w:val="single" w:color="auto" w:sz="4" w:space="0"/>
              <w:right w:val="single" w:color="auto" w:sz="4" w:space="0"/>
              <w:tl2br w:val="nil"/>
              <w:tr2bl w:val="nil"/>
            </w:tcBorders>
          </w:tcPr>
          <w:p w14:paraId="0CE3E6F7">
            <w:pPr>
              <w:autoSpaceDE w:val="0"/>
              <w:autoSpaceDN w:val="0"/>
              <w:spacing w:before="153" w:line="360" w:lineRule="auto"/>
              <w:jc w:val="center"/>
              <w:rPr>
                <w:rFonts w:ascii="宋体" w:hAnsi="宋体" w:eastAsia="宋体" w:cs="仿宋"/>
                <w:b/>
                <w:kern w:val="0"/>
                <w:sz w:val="24"/>
                <w:lang w:val="zh-CN" w:bidi="zh-CN"/>
              </w:rPr>
            </w:pPr>
            <w:r>
              <w:rPr>
                <w:rFonts w:hint="eastAsia" w:ascii="宋体" w:hAnsi="宋体" w:eastAsia="宋体" w:cs="仿宋"/>
                <w:b/>
                <w:kern w:val="0"/>
                <w:sz w:val="24"/>
                <w:lang w:bidi="zh-CN"/>
              </w:rPr>
              <w:t>电子商务物流提升</w:t>
            </w:r>
            <w:r>
              <w:rPr>
                <w:rFonts w:hint="eastAsia" w:ascii="宋体" w:hAnsi="宋体" w:eastAsia="宋体" w:cs="仿宋"/>
                <w:b/>
                <w:kern w:val="0"/>
                <w:sz w:val="24"/>
                <w:lang w:val="zh-CN" w:bidi="zh-CN"/>
              </w:rPr>
              <w:t>工程</w:t>
            </w:r>
          </w:p>
        </w:tc>
      </w:tr>
      <w:tr w14:paraId="7321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l2br w:val="nil"/>
              <w:tr2bl w:val="nil"/>
            </w:tcBorders>
          </w:tcPr>
          <w:p w14:paraId="1E8466E7">
            <w:pPr>
              <w:widowControl/>
              <w:spacing w:line="360" w:lineRule="auto"/>
              <w:rPr>
                <w:rFonts w:ascii="宋体" w:hAnsi="宋体" w:eastAsia="宋体" w:cs="仿宋"/>
                <w:kern w:val="0"/>
                <w:sz w:val="24"/>
                <w:lang w:bidi="zh-CN"/>
              </w:rPr>
            </w:pPr>
            <w:bookmarkStart w:id="71" w:name="_Toc13019"/>
            <w:r>
              <w:rPr>
                <w:rFonts w:hint="eastAsia" w:ascii="宋体" w:hAnsi="宋体" w:eastAsia="宋体" w:cs="仿宋"/>
                <w:b/>
                <w:kern w:val="0"/>
                <w:sz w:val="24"/>
                <w:lang w:bidi="zh-CN"/>
              </w:rPr>
              <w:t>*区乡村三级物流配送体系建设。</w:t>
            </w:r>
            <w:r>
              <w:rPr>
                <w:rFonts w:hint="eastAsia" w:ascii="宋体" w:hAnsi="宋体" w:eastAsia="宋体" w:cs="仿宋"/>
                <w:kern w:val="0"/>
                <w:sz w:val="24"/>
                <w:lang w:bidi="zh-CN"/>
              </w:rPr>
              <w:t>①推动区物流配送分拨中心与社区服务网点建设。以十堰市泰通物流有限公司、中国邮政郧阳分公司、十堰亨一物流有限公司为核心，加强快递物流分拨中心、配送中心和末端网点建设，确保各物流配送公司向郧阳区快递分拣中心集中。推动建设统一的分拣系统，将面向城市社区和乡镇的配送件统一分拨与配送。②推动建立中心镇级物流配送分拨中心。承接市区物流中心分拨的派送件，分拣后配送至社区物流网点和村级服务站点；集中辖区内物流收件，并利用返程车辆送收件至市级物流配送中心。③推动建立农村物流网点建设与整合。依托乡村超市、供销合作社网店、信息服务站、卫生服务站等机构，建立农村电子商务服务站点，对已经建立的各系统的农村服务站点实现资源整合，一个站点代理多家物流公司的业务，实现农村服务功能整合，承担农村物流配送农产品集货代买代卖；代购车船票、代缴水电费、话费充值等增值业务。打造农村最后一公里电子商务服务体系。</w:t>
            </w:r>
            <w:bookmarkEnd w:id="71"/>
          </w:p>
          <w:p w14:paraId="3589275E">
            <w:pPr>
              <w:widowControl/>
              <w:spacing w:line="360" w:lineRule="auto"/>
              <w:rPr>
                <w:rFonts w:ascii="宋体" w:hAnsi="宋体" w:eastAsia="宋体" w:cs="仿宋"/>
                <w:kern w:val="0"/>
                <w:sz w:val="24"/>
                <w:lang w:bidi="zh-CN"/>
              </w:rPr>
            </w:pPr>
            <w:r>
              <w:rPr>
                <w:rFonts w:hint="eastAsia" w:ascii="宋体" w:hAnsi="宋体" w:eastAsia="宋体" w:cs="仿宋"/>
                <w:b/>
                <w:kern w:val="0"/>
                <w:sz w:val="24"/>
                <w:lang w:bidi="zh-CN"/>
              </w:rPr>
              <w:t>*</w:t>
            </w:r>
            <w:r>
              <w:rPr>
                <w:rFonts w:ascii="宋体" w:hAnsi="宋体" w:eastAsia="宋体" w:cs="仿宋"/>
                <w:b/>
                <w:kern w:val="0"/>
                <w:sz w:val="24"/>
                <w:lang w:bidi="zh-CN"/>
              </w:rPr>
              <w:t>电商物流仓储设施升级。</w:t>
            </w:r>
            <w:r>
              <w:rPr>
                <w:rFonts w:ascii="宋体" w:hAnsi="宋体" w:eastAsia="宋体" w:cs="仿宋"/>
                <w:kern w:val="0"/>
                <w:sz w:val="24"/>
                <w:lang w:bidi="zh-CN"/>
              </w:rPr>
              <w:t>整合以十堰北电商中心为核心的电商仓储物流配送</w:t>
            </w:r>
            <w:r>
              <w:rPr>
                <w:rFonts w:hint="eastAsia" w:ascii="宋体" w:hAnsi="宋体" w:eastAsia="宋体" w:cs="仿宋"/>
                <w:kern w:val="0"/>
                <w:sz w:val="24"/>
                <w:lang w:bidi="zh-CN"/>
              </w:rPr>
              <w:t>体系</w:t>
            </w:r>
            <w:r>
              <w:rPr>
                <w:rFonts w:ascii="宋体" w:hAnsi="宋体" w:eastAsia="宋体" w:cs="仿宋"/>
                <w:kern w:val="0"/>
                <w:sz w:val="24"/>
                <w:lang w:bidi="zh-CN"/>
              </w:rPr>
              <w:t>，实现全</w:t>
            </w:r>
            <w:r>
              <w:rPr>
                <w:rFonts w:hint="eastAsia" w:ascii="宋体" w:hAnsi="宋体" w:eastAsia="宋体" w:cs="仿宋"/>
                <w:kern w:val="0"/>
                <w:sz w:val="24"/>
                <w:lang w:bidi="zh-CN"/>
              </w:rPr>
              <w:t>区</w:t>
            </w:r>
            <w:r>
              <w:rPr>
                <w:rFonts w:ascii="宋体" w:hAnsi="宋体" w:eastAsia="宋体" w:cs="仿宋"/>
                <w:kern w:val="0"/>
                <w:sz w:val="24"/>
                <w:lang w:bidi="zh-CN"/>
              </w:rPr>
              <w:t>物流资源整合，引进行业先进的第三方物流企业，统筹全</w:t>
            </w:r>
            <w:r>
              <w:rPr>
                <w:rFonts w:hint="eastAsia" w:ascii="宋体" w:hAnsi="宋体" w:eastAsia="宋体" w:cs="仿宋"/>
                <w:kern w:val="0"/>
                <w:sz w:val="24"/>
                <w:lang w:bidi="zh-CN"/>
              </w:rPr>
              <w:t>区</w:t>
            </w:r>
            <w:r>
              <w:rPr>
                <w:rFonts w:ascii="宋体" w:hAnsi="宋体" w:eastAsia="宋体" w:cs="仿宋"/>
                <w:kern w:val="0"/>
                <w:sz w:val="24"/>
                <w:lang w:bidi="zh-CN"/>
              </w:rPr>
              <w:t>电子商务物流，</w:t>
            </w:r>
            <w:r>
              <w:rPr>
                <w:rFonts w:hint="eastAsia" w:ascii="宋体" w:hAnsi="宋体" w:eastAsia="宋体" w:cs="仿宋"/>
                <w:kern w:val="0"/>
                <w:sz w:val="24"/>
                <w:lang w:bidi="zh-CN"/>
              </w:rPr>
              <w:t>推动</w:t>
            </w:r>
            <w:r>
              <w:rPr>
                <w:rFonts w:ascii="宋体" w:hAnsi="宋体" w:eastAsia="宋体" w:cs="仿宋"/>
                <w:kern w:val="0"/>
                <w:sz w:val="24"/>
                <w:lang w:bidi="zh-CN"/>
              </w:rPr>
              <w:t>建设物流信息资源共享系统。积极发展冷库仓储和定制配送等生鲜冷链物流，</w:t>
            </w:r>
            <w:r>
              <w:rPr>
                <w:rFonts w:hint="eastAsia" w:ascii="宋体" w:hAnsi="宋体" w:eastAsia="宋体" w:cs="仿宋"/>
                <w:kern w:val="0"/>
                <w:sz w:val="24"/>
                <w:lang w:bidi="zh-CN"/>
              </w:rPr>
              <w:t>围绕</w:t>
            </w:r>
            <w:r>
              <w:rPr>
                <w:rFonts w:ascii="宋体" w:hAnsi="宋体" w:eastAsia="宋体" w:cs="仿宋"/>
                <w:kern w:val="0"/>
                <w:sz w:val="24"/>
                <w:lang w:bidi="zh-CN"/>
              </w:rPr>
              <w:t>郧阳区社冷链物流物资储备中心项目致力于打造本区域的综合性农产品冷链物流中心，并以此为核心，各重点乡镇配备专门的冷藏保鲜仓库，每个行政村则会安装村级保鲜设备，力争</w:t>
            </w:r>
            <w:r>
              <w:rPr>
                <w:rFonts w:hint="eastAsia" w:ascii="宋体" w:hAnsi="宋体" w:eastAsia="宋体" w:cs="仿宋"/>
                <w:kern w:val="0"/>
                <w:sz w:val="24"/>
                <w:lang w:bidi="zh-CN"/>
              </w:rPr>
              <w:t>本区</w:t>
            </w:r>
            <w:r>
              <w:rPr>
                <w:rFonts w:ascii="宋体" w:hAnsi="宋体" w:eastAsia="宋体" w:cs="仿宋"/>
                <w:kern w:val="0"/>
                <w:sz w:val="24"/>
                <w:lang w:bidi="zh-CN"/>
              </w:rPr>
              <w:t>建设</w:t>
            </w:r>
            <w:r>
              <w:rPr>
                <w:rFonts w:hint="eastAsia" w:ascii="宋体" w:hAnsi="宋体" w:eastAsia="宋体" w:cs="仿宋"/>
                <w:kern w:val="0"/>
                <w:sz w:val="24"/>
                <w:lang w:bidi="zh-CN"/>
              </w:rPr>
              <w:t>1</w:t>
            </w:r>
            <w:r>
              <w:rPr>
                <w:rFonts w:ascii="宋体" w:hAnsi="宋体" w:eastAsia="宋体" w:cs="仿宋"/>
                <w:kern w:val="0"/>
                <w:sz w:val="24"/>
                <w:lang w:bidi="zh-CN"/>
              </w:rPr>
              <w:t>个区域性综合性农产品冷链物流项目，</w:t>
            </w:r>
            <w:r>
              <w:rPr>
                <w:rFonts w:hint="eastAsia" w:ascii="宋体" w:hAnsi="宋体" w:eastAsia="宋体" w:cs="仿宋"/>
                <w:kern w:val="0"/>
                <w:sz w:val="24"/>
                <w:lang w:bidi="zh-CN"/>
              </w:rPr>
              <w:t>各重点</w:t>
            </w:r>
            <w:r>
              <w:rPr>
                <w:rFonts w:ascii="宋体" w:hAnsi="宋体" w:eastAsia="宋体" w:cs="仿宋"/>
                <w:kern w:val="0"/>
                <w:sz w:val="24"/>
                <w:lang w:bidi="zh-CN"/>
              </w:rPr>
              <w:t>乡镇建设</w:t>
            </w:r>
            <w:r>
              <w:rPr>
                <w:rFonts w:hint="eastAsia" w:ascii="宋体" w:hAnsi="宋体" w:eastAsia="宋体" w:cs="仿宋"/>
                <w:kern w:val="0"/>
                <w:sz w:val="24"/>
                <w:lang w:bidi="zh-CN"/>
              </w:rPr>
              <w:t>1</w:t>
            </w:r>
            <w:r>
              <w:rPr>
                <w:rFonts w:ascii="宋体" w:hAnsi="宋体" w:eastAsia="宋体" w:cs="仿宋"/>
                <w:kern w:val="0"/>
                <w:sz w:val="24"/>
                <w:lang w:bidi="zh-CN"/>
              </w:rPr>
              <w:t>个专业冷藏保鲜库，行政村建设村级保鲜设施，开展原产地预冷，解决农副产品运输分散、冷链仓储缺失等物流问题以系统性地解决当前面临的农产品运输分散及冷链仓储资源缺乏等问题，</w:t>
            </w:r>
            <w:r>
              <w:rPr>
                <w:rFonts w:hint="eastAsia" w:ascii="宋体" w:hAnsi="宋体" w:eastAsia="宋体" w:cs="仿宋"/>
                <w:kern w:val="0"/>
                <w:sz w:val="24"/>
                <w:lang w:bidi="zh-CN"/>
              </w:rPr>
              <w:t>以</w:t>
            </w:r>
            <w:r>
              <w:rPr>
                <w:rFonts w:ascii="宋体" w:hAnsi="宋体" w:eastAsia="宋体" w:cs="仿宋"/>
                <w:kern w:val="0"/>
                <w:sz w:val="24"/>
                <w:lang w:bidi="zh-CN"/>
              </w:rPr>
              <w:t>提升农产品的流通效率，保障产品质量，减少损耗，从而促进农业产业链的优化与升级。</w:t>
            </w:r>
          </w:p>
          <w:p w14:paraId="60C3FCF8">
            <w:pPr>
              <w:widowControl/>
              <w:spacing w:line="360" w:lineRule="auto"/>
              <w:rPr>
                <w:rFonts w:ascii="宋体" w:hAnsi="宋体" w:eastAsia="宋体" w:cs="仿宋"/>
                <w:kern w:val="0"/>
                <w:sz w:val="24"/>
                <w:lang w:bidi="zh-CN"/>
              </w:rPr>
            </w:pPr>
            <w:r>
              <w:rPr>
                <w:rFonts w:hint="eastAsia" w:ascii="宋体" w:hAnsi="宋体" w:eastAsia="宋体" w:cs="仿宋"/>
                <w:b/>
                <w:kern w:val="0"/>
                <w:sz w:val="24"/>
                <w:lang w:bidi="zh-CN"/>
              </w:rPr>
              <w:t>*</w:t>
            </w:r>
            <w:r>
              <w:rPr>
                <w:rFonts w:ascii="宋体" w:hAnsi="宋体" w:eastAsia="宋体" w:cs="仿宋"/>
                <w:b/>
                <w:kern w:val="0"/>
                <w:sz w:val="24"/>
                <w:lang w:bidi="zh-CN"/>
              </w:rPr>
              <w:t>智慧物流建设。</w:t>
            </w:r>
            <w:r>
              <w:rPr>
                <w:rFonts w:ascii="宋体" w:hAnsi="宋体" w:eastAsia="宋体" w:cs="仿宋"/>
                <w:kern w:val="0"/>
                <w:sz w:val="24"/>
                <w:lang w:bidi="zh-CN"/>
              </w:rPr>
              <w:t>依托</w:t>
            </w:r>
            <w:r>
              <w:rPr>
                <w:rFonts w:hint="eastAsia" w:ascii="宋体" w:hAnsi="宋体" w:eastAsia="宋体" w:cs="仿宋"/>
                <w:kern w:val="0"/>
                <w:sz w:val="24"/>
                <w:lang w:bidi="zh-CN"/>
              </w:rPr>
              <w:t>新能源和智能网联汽车</w:t>
            </w:r>
            <w:r>
              <w:rPr>
                <w:rFonts w:ascii="宋体" w:hAnsi="宋体" w:eastAsia="宋体" w:cs="仿宋"/>
                <w:kern w:val="0"/>
                <w:sz w:val="24"/>
                <w:lang w:bidi="zh-CN"/>
              </w:rPr>
              <w:t>等主导产业加快推进智慧物流产业园的建设，全方位实现物流链上所有资源的协同共享与优化配置、物流全流程的可视与可控。</w:t>
            </w:r>
            <w:r>
              <w:rPr>
                <w:rFonts w:hint="eastAsia" w:ascii="宋体" w:hAnsi="宋体" w:eastAsia="宋体" w:cs="仿宋"/>
                <w:kern w:val="0"/>
                <w:sz w:val="24"/>
                <w:lang w:bidi="zh-CN"/>
              </w:rPr>
              <w:t>打造集电子商务、城市配送、供应链金融、交易展示、区域结算、大数据服务于一体的智慧物流全产业链服务平台</w:t>
            </w:r>
            <w:r>
              <w:rPr>
                <w:rFonts w:ascii="宋体" w:hAnsi="宋体" w:eastAsia="宋体" w:cs="仿宋"/>
                <w:kern w:val="0"/>
                <w:sz w:val="24"/>
                <w:lang w:bidi="zh-CN"/>
              </w:rPr>
              <w:t>。加快推动城区智能快递柜投放，有效提升邮快件末端投递服务效率和城市智慧化建设水平。</w:t>
            </w:r>
          </w:p>
          <w:p w14:paraId="6B81AB7E">
            <w:pPr>
              <w:widowControl/>
              <w:spacing w:line="360" w:lineRule="auto"/>
              <w:rPr>
                <w:rFonts w:ascii="宋体" w:hAnsi="宋体" w:eastAsia="宋体" w:cs="仿宋"/>
                <w:kern w:val="0"/>
                <w:sz w:val="24"/>
                <w:lang w:bidi="zh-CN"/>
              </w:rPr>
            </w:pPr>
            <w:r>
              <w:rPr>
                <w:rFonts w:hint="eastAsia" w:ascii="宋体" w:hAnsi="宋体" w:eastAsia="宋体" w:cs="仿宋"/>
                <w:b/>
                <w:kern w:val="0"/>
                <w:sz w:val="24"/>
                <w:lang w:bidi="zh-CN"/>
              </w:rPr>
              <w:t>*绿色物流改进。</w:t>
            </w:r>
            <w:r>
              <w:rPr>
                <w:rFonts w:ascii="宋体" w:hAnsi="宋体" w:eastAsia="宋体" w:cs="仿宋"/>
                <w:kern w:val="0"/>
                <w:sz w:val="24"/>
                <w:lang w:bidi="zh-CN"/>
              </w:rPr>
              <w:t>加强电商</w:t>
            </w:r>
            <w:r>
              <w:rPr>
                <w:rFonts w:hint="eastAsia" w:ascii="宋体" w:hAnsi="宋体" w:eastAsia="宋体" w:cs="仿宋"/>
                <w:kern w:val="0"/>
                <w:sz w:val="24"/>
                <w:lang w:bidi="zh-CN"/>
              </w:rPr>
              <w:t>企业、</w:t>
            </w:r>
            <w:r>
              <w:rPr>
                <w:rFonts w:ascii="宋体" w:hAnsi="宋体" w:eastAsia="宋体" w:cs="仿宋"/>
                <w:kern w:val="0"/>
                <w:sz w:val="24"/>
                <w:lang w:bidi="zh-CN"/>
              </w:rPr>
              <w:t>快递</w:t>
            </w:r>
            <w:r>
              <w:rPr>
                <w:rFonts w:hint="eastAsia" w:ascii="宋体" w:hAnsi="宋体" w:eastAsia="宋体" w:cs="仿宋"/>
                <w:kern w:val="0"/>
                <w:sz w:val="24"/>
                <w:lang w:bidi="zh-CN"/>
              </w:rPr>
              <w:t>公司</w:t>
            </w:r>
            <w:r>
              <w:rPr>
                <w:rFonts w:ascii="宋体" w:hAnsi="宋体" w:eastAsia="宋体" w:cs="仿宋"/>
                <w:kern w:val="0"/>
                <w:sz w:val="24"/>
                <w:lang w:bidi="zh-CN"/>
              </w:rPr>
              <w:t>与生产企业的</w:t>
            </w:r>
            <w:r>
              <w:rPr>
                <w:rFonts w:hint="eastAsia" w:ascii="宋体" w:hAnsi="宋体" w:eastAsia="宋体" w:cs="仿宋"/>
                <w:kern w:val="0"/>
                <w:sz w:val="24"/>
                <w:lang w:bidi="zh-CN"/>
              </w:rPr>
              <w:t>协同发展</w:t>
            </w:r>
            <w:r>
              <w:rPr>
                <w:rFonts w:ascii="宋体" w:hAnsi="宋体" w:eastAsia="宋体" w:cs="仿宋"/>
                <w:kern w:val="0"/>
                <w:sz w:val="24"/>
                <w:lang w:bidi="zh-CN"/>
              </w:rPr>
              <w:t>，培育城市绿色货运配送示范</w:t>
            </w:r>
            <w:r>
              <w:rPr>
                <w:rFonts w:hint="eastAsia" w:ascii="宋体" w:hAnsi="宋体" w:eastAsia="宋体" w:cs="仿宋"/>
                <w:kern w:val="0"/>
                <w:sz w:val="24"/>
                <w:lang w:bidi="zh-CN"/>
              </w:rPr>
              <w:t>基地</w:t>
            </w:r>
            <w:r>
              <w:rPr>
                <w:rFonts w:ascii="宋体" w:hAnsi="宋体" w:eastAsia="宋体" w:cs="仿宋"/>
                <w:kern w:val="0"/>
                <w:sz w:val="24"/>
                <w:lang w:bidi="zh-CN"/>
              </w:rPr>
              <w:t>，推广应用新能源货运配送车辆，逐步淘汰燃油配送车辆。由政府和行业协会等部门牵头制定规范的电子商务物流包装标准使电子商务物流包装在材质、型号、重量等方面趋于统一。各物流企业应在物流站点附近设立包装回收点，方便消费端的包装回收。同时，由包装生产企业联合专业包装回收企业，完成破损包装的回收再利用。到202</w:t>
            </w:r>
            <w:r>
              <w:rPr>
                <w:rFonts w:hint="eastAsia" w:ascii="宋体" w:hAnsi="宋体" w:eastAsia="宋体" w:cs="仿宋"/>
                <w:kern w:val="0"/>
                <w:sz w:val="24"/>
                <w:lang w:bidi="zh-CN"/>
              </w:rPr>
              <w:t>7</w:t>
            </w:r>
            <w:r>
              <w:rPr>
                <w:rFonts w:ascii="宋体" w:hAnsi="宋体" w:eastAsia="宋体" w:cs="仿宋"/>
                <w:kern w:val="0"/>
                <w:sz w:val="24"/>
                <w:lang w:bidi="zh-CN"/>
              </w:rPr>
              <w:t>年实现</w:t>
            </w:r>
            <w:r>
              <w:rPr>
                <w:rFonts w:hint="eastAsia" w:ascii="宋体" w:hAnsi="宋体" w:eastAsia="宋体" w:cs="仿宋"/>
                <w:kern w:val="0"/>
                <w:sz w:val="24"/>
                <w:lang w:bidi="zh-CN"/>
              </w:rPr>
              <w:t>全区域</w:t>
            </w:r>
            <w:r>
              <w:rPr>
                <w:rFonts w:ascii="宋体" w:hAnsi="宋体" w:eastAsia="宋体" w:cs="仿宋"/>
                <w:kern w:val="0"/>
                <w:sz w:val="24"/>
                <w:lang w:bidi="zh-CN"/>
              </w:rPr>
              <w:t>电商快件快递包装减量和绿色循环。</w:t>
            </w:r>
          </w:p>
        </w:tc>
      </w:tr>
    </w:tbl>
    <w:p w14:paraId="42AD11B6">
      <w:pPr>
        <w:pStyle w:val="3"/>
        <w:rPr>
          <w:rFonts w:asciiTheme="minorEastAsia" w:hAnsiTheme="minorEastAsia" w:eastAsiaTheme="minorEastAsia"/>
          <w:sz w:val="28"/>
          <w:szCs w:val="28"/>
        </w:rPr>
      </w:pPr>
      <w:bookmarkStart w:id="72" w:name="_Toc11225"/>
      <w:bookmarkStart w:id="73" w:name="_Toc181666875"/>
      <w:bookmarkStart w:id="74" w:name="_Toc183083289"/>
      <w:r>
        <w:rPr>
          <w:rFonts w:hint="eastAsia" w:asciiTheme="minorEastAsia" w:hAnsiTheme="minorEastAsia" w:eastAsiaTheme="minorEastAsia"/>
          <w:sz w:val="28"/>
          <w:szCs w:val="28"/>
        </w:rPr>
        <w:t>三、电子商务人才培育工程</w:t>
      </w:r>
      <w:bookmarkEnd w:id="72"/>
      <w:bookmarkEnd w:id="73"/>
      <w:bookmarkEnd w:id="74"/>
    </w:p>
    <w:p w14:paraId="7D72E78C">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该工程有助于补齐本地人才缺口，提升电商人才质量，为本区域电子商务高质量发展和乡村振兴提供核心动力。主要包括整合电商培育资源、人才培训精细化和校企合作三个方面。</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7238"/>
      </w:tblGrid>
      <w:tr w14:paraId="4A42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tcBorders>
              <w:top w:val="single" w:color="auto" w:sz="4" w:space="0"/>
              <w:left w:val="single" w:color="auto" w:sz="4" w:space="0"/>
              <w:bottom w:val="single" w:color="auto" w:sz="4" w:space="0"/>
              <w:right w:val="single" w:color="auto" w:sz="4" w:space="0"/>
              <w:tl2br w:val="nil"/>
              <w:tr2bl w:val="nil"/>
            </w:tcBorders>
          </w:tcPr>
          <w:p w14:paraId="3F340462">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w:t>
            </w:r>
            <w:r>
              <w:rPr>
                <w:rFonts w:hint="eastAsia" w:ascii="宋体" w:hAnsi="宋体" w:eastAsia="宋体" w:cs="仿宋"/>
                <w:b/>
                <w:kern w:val="0"/>
                <w:sz w:val="24"/>
                <w:lang w:bidi="zh-CN"/>
              </w:rPr>
              <w:t>三</w:t>
            </w:r>
          </w:p>
        </w:tc>
        <w:tc>
          <w:tcPr>
            <w:tcW w:w="7238" w:type="dxa"/>
            <w:tcBorders>
              <w:top w:val="single" w:color="auto" w:sz="4" w:space="0"/>
              <w:left w:val="single" w:color="auto" w:sz="4" w:space="0"/>
              <w:bottom w:val="single" w:color="auto" w:sz="4" w:space="0"/>
              <w:right w:val="single" w:color="auto" w:sz="4" w:space="0"/>
              <w:tl2br w:val="nil"/>
              <w:tr2bl w:val="nil"/>
            </w:tcBorders>
          </w:tcPr>
          <w:p w14:paraId="7A636F00">
            <w:pPr>
              <w:autoSpaceDE w:val="0"/>
              <w:autoSpaceDN w:val="0"/>
              <w:spacing w:before="153" w:line="360" w:lineRule="auto"/>
              <w:jc w:val="center"/>
              <w:rPr>
                <w:rFonts w:ascii="宋体" w:hAnsi="宋体" w:eastAsia="宋体" w:cs="仿宋"/>
                <w:b/>
                <w:kern w:val="0"/>
                <w:sz w:val="24"/>
                <w:lang w:val="zh-CN" w:bidi="zh-CN"/>
              </w:rPr>
            </w:pPr>
            <w:r>
              <w:rPr>
                <w:rFonts w:hint="eastAsia" w:ascii="宋体" w:hAnsi="宋体" w:eastAsia="宋体" w:cs="仿宋"/>
                <w:b/>
                <w:kern w:val="0"/>
                <w:sz w:val="24"/>
                <w:lang w:bidi="zh-CN"/>
              </w:rPr>
              <w:t>电子商务人才培育工程</w:t>
            </w:r>
          </w:p>
        </w:tc>
      </w:tr>
      <w:tr w14:paraId="2138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l2br w:val="nil"/>
              <w:tr2bl w:val="nil"/>
            </w:tcBorders>
          </w:tcPr>
          <w:p w14:paraId="6D1C734E">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*整合电商培育资源。</w:t>
            </w:r>
            <w:r>
              <w:rPr>
                <w:rFonts w:hint="eastAsia" w:ascii="宋体" w:hAnsi="宋体" w:eastAsia="宋体" w:cs="仿宋"/>
                <w:kern w:val="0"/>
                <w:sz w:val="24"/>
                <w:lang w:bidi="zh-CN"/>
              </w:rPr>
              <w:t>整合商务、人社、农业、妇联、团委等单位资源，构建电商服务企业+专项职业教育技能培训为主体的电商人才培训体系，打造“线上+线下”电子商务培训双模式。建立电商培训长效服务机制，以十堰北数字电商中心、数智郧阳人才孵化基地等为培训主阵地，</w:t>
            </w:r>
            <w:r>
              <w:rPr>
                <w:rFonts w:ascii="宋体" w:hAnsi="宋体" w:eastAsia="宋体" w:cs="仿宋"/>
                <w:kern w:val="0"/>
                <w:sz w:val="24"/>
                <w:lang w:bidi="zh-CN"/>
              </w:rPr>
              <w:t>开展多层面多类型电商培训活动，为本地电商创业者提供优质的知识内容和技术指导，</w:t>
            </w:r>
            <w:r>
              <w:rPr>
                <w:rFonts w:hint="eastAsia" w:ascii="宋体" w:hAnsi="宋体" w:eastAsia="宋体" w:cs="仿宋"/>
                <w:kern w:val="0"/>
                <w:sz w:val="24"/>
                <w:lang w:bidi="zh-CN"/>
              </w:rPr>
              <w:t>助力本地专业电商人才队伍培育，打造电商人才发展“新引擎”。</w:t>
            </w:r>
          </w:p>
          <w:p w14:paraId="755F976F">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*电商培训精细化。</w:t>
            </w:r>
            <w:r>
              <w:rPr>
                <w:rFonts w:hint="eastAsia" w:ascii="宋体" w:hAnsi="宋体" w:eastAsia="宋体" w:cs="仿宋"/>
                <w:kern w:val="0"/>
                <w:sz w:val="24"/>
                <w:lang w:bidi="zh-CN"/>
              </w:rPr>
              <w:t>充分了解不同类型人员的特点，确定不同人员的就业方向，</w:t>
            </w:r>
            <w:r>
              <w:rPr>
                <w:rFonts w:ascii="宋体" w:hAnsi="宋体" w:eastAsia="宋体" w:cs="仿宋"/>
                <w:kern w:val="0"/>
                <w:sz w:val="24"/>
                <w:lang w:bidi="zh-CN"/>
              </w:rPr>
              <w:t>将培训划分为基础知识普及、初级知识培训和中高级人才培养三类，</w:t>
            </w:r>
            <w:r>
              <w:rPr>
                <w:rFonts w:hint="eastAsia" w:ascii="宋体" w:hAnsi="宋体" w:eastAsia="宋体" w:cs="仿宋"/>
                <w:kern w:val="0"/>
                <w:sz w:val="24"/>
                <w:lang w:bidi="zh-CN"/>
              </w:rPr>
              <w:t>加强对AIGC的培训，提升受训人员在电商运营中利用人工智能大语言模型的能力。</w:t>
            </w:r>
            <w:r>
              <w:rPr>
                <w:rFonts w:ascii="宋体" w:hAnsi="宋体" w:eastAsia="宋体" w:cs="仿宋"/>
                <w:kern w:val="0"/>
                <w:sz w:val="24"/>
                <w:lang w:bidi="zh-CN"/>
              </w:rPr>
              <w:t>以专业合作社、农业大户、农村创业致富带头人、个体经营者、农村青年为重点，开展电商基础提升课、电商店铺运营课程、电商直播课程、微商培训课程等。针对建档立卡贫困户、家庭妇女、下岗职工、转业军人、残疾人等群体，分别开设专项班次，提升全民电商人才培养覆盖面。</w:t>
            </w:r>
            <w:r>
              <w:rPr>
                <w:rFonts w:hint="eastAsia" w:ascii="宋体" w:hAnsi="宋体" w:eastAsia="宋体" w:cs="仿宋"/>
                <w:kern w:val="0"/>
                <w:sz w:val="24"/>
                <w:lang w:bidi="zh-CN"/>
              </w:rPr>
              <w:t>将电子商务纳入领导干部及公务员培训内容，提升政府推动电子商务发展的水平。鼓励大学生、返乡青年、退伍军人等群体从事电子商务创业，培育农村电商带头人。</w:t>
            </w:r>
          </w:p>
          <w:p w14:paraId="76DD79FE">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*校企合作。</w:t>
            </w:r>
            <w:r>
              <w:rPr>
                <w:rFonts w:hint="eastAsia" w:ascii="宋体" w:hAnsi="宋体" w:eastAsia="宋体" w:cs="仿宋"/>
                <w:kern w:val="0"/>
                <w:sz w:val="24"/>
                <w:lang w:bidi="zh-CN"/>
              </w:rPr>
              <w:t>政府积极开发并优化实训基地资源，引导本地职业院校加强电子商务专业建设，进一步完善产学研用合作机制，以有效提升人才的实际操作技能与就业竞争力。</w:t>
            </w:r>
            <w:r>
              <w:rPr>
                <w:rFonts w:ascii="宋体" w:hAnsi="宋体" w:eastAsia="宋体" w:cs="仿宋"/>
                <w:kern w:val="0"/>
                <w:sz w:val="24"/>
                <w:lang w:bidi="zh-CN"/>
              </w:rPr>
              <w:t>建立电商人才培养跨部门合作机制，</w:t>
            </w:r>
            <w:r>
              <w:rPr>
                <w:rFonts w:hint="eastAsia" w:ascii="宋体" w:hAnsi="宋体" w:eastAsia="宋体" w:cs="仿宋"/>
                <w:kern w:val="0"/>
                <w:sz w:val="24"/>
                <w:lang w:bidi="zh-CN"/>
              </w:rPr>
              <w:t>与华中师范大学、湖北工业大学、汉江师范学院、湖北工业职业技术学院</w:t>
            </w:r>
            <w:r>
              <w:rPr>
                <w:rFonts w:ascii="宋体" w:hAnsi="宋体" w:eastAsia="宋体" w:cs="仿宋"/>
                <w:kern w:val="0"/>
                <w:sz w:val="24"/>
                <w:lang w:bidi="zh-CN"/>
              </w:rPr>
              <w:t>等</w:t>
            </w:r>
            <w:r>
              <w:rPr>
                <w:rFonts w:hint="eastAsia" w:ascii="宋体" w:hAnsi="宋体" w:eastAsia="宋体" w:cs="仿宋"/>
                <w:kern w:val="0"/>
                <w:sz w:val="24"/>
                <w:lang w:bidi="zh-CN"/>
              </w:rPr>
              <w:t>院校开展合作，建立专家库，推进中小电子商务企业、配套服务商的中高级人才继续教育。依托行业组织、职业学校与电商企业联合举办多样化的电子商务创新与创业竞赛及电商技能比赛。</w:t>
            </w:r>
          </w:p>
        </w:tc>
      </w:tr>
    </w:tbl>
    <w:p w14:paraId="226F560F">
      <w:pPr>
        <w:pStyle w:val="3"/>
        <w:rPr>
          <w:rFonts w:asciiTheme="minorEastAsia" w:hAnsiTheme="minorEastAsia" w:eastAsiaTheme="minorEastAsia"/>
          <w:sz w:val="28"/>
          <w:szCs w:val="28"/>
        </w:rPr>
      </w:pPr>
      <w:bookmarkStart w:id="75" w:name="_Toc183083290"/>
      <w:bookmarkStart w:id="76" w:name="_Toc26844"/>
      <w:bookmarkStart w:id="77" w:name="_Toc181666876"/>
      <w:r>
        <w:rPr>
          <w:rFonts w:hint="eastAsia" w:asciiTheme="minorEastAsia" w:hAnsiTheme="minorEastAsia" w:eastAsiaTheme="minorEastAsia"/>
          <w:sz w:val="28"/>
          <w:szCs w:val="28"/>
        </w:rPr>
        <w:t>四、电商行业应用创新工程</w:t>
      </w:r>
      <w:bookmarkEnd w:id="75"/>
      <w:bookmarkEnd w:id="76"/>
      <w:bookmarkEnd w:id="77"/>
    </w:p>
    <w:p w14:paraId="451AABD6">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该工程有助于推进各行业的线下实体零售和服务企业进入线上渠道，使得更多线下优质产品和服务触达消费者。主要包括</w:t>
      </w:r>
      <w:r>
        <w:rPr>
          <w:rFonts w:ascii="宋体" w:hAnsi="宋体" w:eastAsia="宋体" w:cs="仿宋"/>
          <w:kern w:val="0"/>
          <w:sz w:val="24"/>
          <w:lang w:bidi="zh-CN"/>
        </w:rPr>
        <w:t>农业、工业、文旅产业</w:t>
      </w:r>
      <w:r>
        <w:rPr>
          <w:rFonts w:hint="eastAsia" w:ascii="宋体" w:hAnsi="宋体" w:eastAsia="宋体" w:cs="仿宋"/>
          <w:kern w:val="0"/>
          <w:sz w:val="24"/>
          <w:lang w:bidi="zh-CN"/>
        </w:rPr>
        <w:t>在生产、品牌打造，平台建设，信息化改造等方面的</w:t>
      </w:r>
      <w:r>
        <w:rPr>
          <w:rFonts w:ascii="宋体" w:hAnsi="宋体" w:eastAsia="宋体" w:cs="仿宋"/>
          <w:kern w:val="0"/>
          <w:sz w:val="24"/>
          <w:lang w:bidi="zh-CN"/>
        </w:rPr>
        <w:t>电子商务应用</w:t>
      </w:r>
      <w:r>
        <w:rPr>
          <w:rFonts w:hint="eastAsia" w:ascii="宋体" w:hAnsi="宋体" w:eastAsia="宋体" w:cs="仿宋"/>
          <w:kern w:val="0"/>
          <w:sz w:val="24"/>
          <w:lang w:bidi="zh-CN"/>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7238"/>
      </w:tblGrid>
      <w:tr w14:paraId="3D86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tcBorders>
              <w:top w:val="single" w:color="auto" w:sz="4" w:space="0"/>
              <w:left w:val="single" w:color="auto" w:sz="4" w:space="0"/>
              <w:bottom w:val="single" w:color="auto" w:sz="4" w:space="0"/>
              <w:right w:val="single" w:color="auto" w:sz="4" w:space="0"/>
              <w:tl2br w:val="nil"/>
              <w:tr2bl w:val="nil"/>
            </w:tcBorders>
          </w:tcPr>
          <w:p w14:paraId="4783B0F9">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w:t>
            </w:r>
            <w:r>
              <w:rPr>
                <w:rFonts w:hint="eastAsia" w:ascii="宋体" w:hAnsi="宋体" w:eastAsia="宋体" w:cs="仿宋"/>
                <w:b/>
                <w:kern w:val="0"/>
                <w:sz w:val="24"/>
                <w:lang w:bidi="zh-CN"/>
              </w:rPr>
              <w:t>四</w:t>
            </w:r>
          </w:p>
        </w:tc>
        <w:tc>
          <w:tcPr>
            <w:tcW w:w="7238" w:type="dxa"/>
            <w:tcBorders>
              <w:top w:val="single" w:color="auto" w:sz="4" w:space="0"/>
              <w:left w:val="single" w:color="auto" w:sz="4" w:space="0"/>
              <w:bottom w:val="single" w:color="auto" w:sz="4" w:space="0"/>
              <w:right w:val="single" w:color="auto" w:sz="4" w:space="0"/>
              <w:tl2br w:val="nil"/>
              <w:tr2bl w:val="nil"/>
            </w:tcBorders>
          </w:tcPr>
          <w:p w14:paraId="4FB89058">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bidi="zh-CN"/>
              </w:rPr>
              <w:t>农村电子商务提升工程</w:t>
            </w:r>
          </w:p>
        </w:tc>
      </w:tr>
      <w:tr w14:paraId="632F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l2br w:val="nil"/>
              <w:tr2bl w:val="nil"/>
            </w:tcBorders>
          </w:tcPr>
          <w:p w14:paraId="2B2B2715">
            <w:pPr>
              <w:spacing w:line="360" w:lineRule="auto"/>
              <w:rPr>
                <w:rFonts w:ascii="宋体" w:hAnsi="宋体" w:eastAsia="宋体" w:cs="仿宋"/>
                <w:kern w:val="0"/>
                <w:sz w:val="24"/>
                <w:lang w:bidi="zh-CN"/>
              </w:rPr>
            </w:pPr>
            <w:bookmarkStart w:id="78" w:name="_Toc14734"/>
            <w:r>
              <w:rPr>
                <w:rFonts w:hint="eastAsia" w:ascii="宋体" w:hAnsi="宋体" w:eastAsia="宋体" w:cs="仿宋"/>
                <w:b/>
                <w:kern w:val="0"/>
                <w:sz w:val="24"/>
                <w:lang w:bidi="zh-CN"/>
              </w:rPr>
              <w:t>*农产品标准化。</w:t>
            </w:r>
            <w:r>
              <w:rPr>
                <w:rFonts w:hint="eastAsia" w:ascii="宋体" w:hAnsi="宋体" w:eastAsia="宋体" w:cs="仿宋"/>
                <w:bCs/>
                <w:kern w:val="0"/>
                <w:sz w:val="24"/>
                <w:lang w:bidi="zh-CN"/>
              </w:rPr>
              <w:t>大力</w:t>
            </w:r>
            <w:r>
              <w:rPr>
                <w:rFonts w:hint="eastAsia" w:ascii="宋体" w:hAnsi="宋体" w:eastAsia="宋体" w:cs="仿宋"/>
                <w:kern w:val="0"/>
                <w:sz w:val="24"/>
                <w:lang w:bidi="zh-CN"/>
              </w:rPr>
              <w:t>推动农业农村局、</w:t>
            </w:r>
            <w:r>
              <w:rPr>
                <w:rFonts w:hint="eastAsia" w:ascii="宋体" w:hAnsi="宋体" w:eastAsia="宋体" w:cs="仿宋"/>
                <w:kern w:val="0"/>
                <w:sz w:val="24"/>
                <w:lang w:val="en-US" w:bidi="zh-CN"/>
              </w:rPr>
              <w:t>市场监督管理局</w:t>
            </w:r>
            <w:r>
              <w:rPr>
                <w:rFonts w:hint="eastAsia" w:ascii="宋体" w:hAnsi="宋体" w:eastAsia="宋体" w:cs="仿宋"/>
                <w:kern w:val="0"/>
                <w:sz w:val="24"/>
                <w:lang w:bidi="zh-CN"/>
              </w:rPr>
              <w:t>等部门从生产环境（土壤、水质、大气等）、生产过程（肥料、农药 、生长调节剂等的施用量、施用方法、施用时间、施用次数等技术规程）、产品品质（外观、营养、卫生质量等）、加工包装（保鲜、贮藏、分级、包装）等环节着手，将农产品生产的每一个环节都纳入标准化管理的轨道，形成一整套完善的全程标准指标体系，达对农产品质量的全过程控制。</w:t>
            </w:r>
            <w:bookmarkEnd w:id="78"/>
          </w:p>
          <w:p w14:paraId="2C28308B">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*农产品品牌打造。</w:t>
            </w:r>
            <w:r>
              <w:rPr>
                <w:rFonts w:ascii="宋体" w:hAnsi="宋体" w:eastAsia="宋体" w:cs="仿宋"/>
                <w:kern w:val="0"/>
                <w:sz w:val="24"/>
                <w:lang w:bidi="zh-CN"/>
              </w:rPr>
              <w:t>依托优质粮油（红薯、玉米、小麦 水稻、菜籽油）产业链、中药材产业链、食用菌产业链、木本油料（油橄榄）产业链、果蔬茶产业链、黄酒（小窖酒）产业链、设施渔业产业链等七个重点农业产业链，结合“二品一标”和特色农产品，建设区域特色农产品名录，组织相关机构和企业，依托行政村、专业合作社、家庭农场、农业企业、食品加工企业、农产品市场，开展农产品摸底调查，建立农产品目录体系</w:t>
            </w:r>
            <w:r>
              <w:rPr>
                <w:rFonts w:hint="eastAsia" w:ascii="宋体" w:hAnsi="宋体" w:eastAsia="宋体" w:cs="仿宋"/>
                <w:kern w:val="0"/>
                <w:sz w:val="24"/>
                <w:lang w:bidi="zh-CN"/>
              </w:rPr>
              <w:t>。对接十堰市区域公用品牌“武当山珍”“武当山茶”，或者依托将要打造的郧阳区域公用品牌“三生郧阳”“郧上优品”，</w:t>
            </w:r>
            <w:r>
              <w:rPr>
                <w:rFonts w:ascii="宋体" w:hAnsi="宋体" w:eastAsia="宋体" w:cs="仿宋"/>
                <w:kern w:val="0"/>
                <w:sz w:val="24"/>
                <w:lang w:bidi="zh-CN"/>
              </w:rPr>
              <w:t>打造区域公</w:t>
            </w:r>
            <w:r>
              <w:rPr>
                <w:rFonts w:hint="eastAsia" w:ascii="宋体" w:hAnsi="宋体" w:eastAsia="宋体" w:cs="仿宋"/>
                <w:kern w:val="0"/>
                <w:sz w:val="24"/>
                <w:lang w:bidi="zh-CN"/>
              </w:rPr>
              <w:t>用品牌+</w:t>
            </w:r>
            <w:r>
              <w:rPr>
                <w:rFonts w:ascii="宋体" w:hAnsi="宋体" w:eastAsia="宋体" w:cs="仿宋"/>
                <w:kern w:val="0"/>
                <w:sz w:val="24"/>
                <w:lang w:bidi="zh-CN"/>
              </w:rPr>
              <w:t>企业</w:t>
            </w:r>
            <w:r>
              <w:rPr>
                <w:rFonts w:hint="eastAsia" w:ascii="宋体" w:hAnsi="宋体" w:eastAsia="宋体" w:cs="仿宋"/>
                <w:kern w:val="0"/>
                <w:sz w:val="24"/>
                <w:lang w:bidi="zh-CN"/>
              </w:rPr>
              <w:t>品牌的</w:t>
            </w:r>
            <w:r>
              <w:rPr>
                <w:rFonts w:ascii="宋体" w:hAnsi="宋体" w:eastAsia="宋体" w:cs="仿宋"/>
                <w:kern w:val="0"/>
                <w:sz w:val="24"/>
                <w:lang w:bidi="zh-CN"/>
              </w:rPr>
              <w:t>品牌</w:t>
            </w:r>
            <w:r>
              <w:rPr>
                <w:rFonts w:hint="eastAsia" w:ascii="宋体" w:hAnsi="宋体" w:eastAsia="宋体" w:cs="仿宋"/>
                <w:kern w:val="0"/>
                <w:sz w:val="24"/>
                <w:lang w:bidi="zh-CN"/>
              </w:rPr>
              <w:t>策略</w:t>
            </w:r>
            <w:r>
              <w:rPr>
                <w:rFonts w:ascii="宋体" w:hAnsi="宋体" w:eastAsia="宋体" w:cs="仿宋"/>
                <w:kern w:val="0"/>
                <w:sz w:val="24"/>
                <w:lang w:bidi="zh-CN"/>
              </w:rPr>
              <w:t>，</w:t>
            </w:r>
            <w:r>
              <w:rPr>
                <w:rFonts w:hint="eastAsia" w:ascii="宋体" w:hAnsi="宋体" w:eastAsia="宋体" w:cs="仿宋"/>
                <w:kern w:val="0"/>
                <w:sz w:val="24"/>
                <w:lang w:bidi="zh-CN"/>
              </w:rPr>
              <w:t>讲好品牌故事，将农产品与郧阳独特的地理优势、武当文化、恐龙化石等结合，</w:t>
            </w:r>
            <w:r>
              <w:rPr>
                <w:rFonts w:ascii="宋体" w:hAnsi="宋体" w:eastAsia="宋体" w:cs="仿宋"/>
                <w:kern w:val="0"/>
                <w:sz w:val="24"/>
                <w:lang w:bidi="zh-CN"/>
              </w:rPr>
              <w:t>突出郧阳特色和文化底蕴，以安全、健康、生态等关键词设定郧阳特色品牌</w:t>
            </w:r>
            <w:r>
              <w:rPr>
                <w:rFonts w:hint="eastAsia" w:ascii="宋体" w:hAnsi="宋体" w:eastAsia="宋体" w:cs="仿宋"/>
                <w:kern w:val="0"/>
                <w:sz w:val="24"/>
                <w:lang w:bidi="zh-CN"/>
              </w:rPr>
              <w:t>；打造单品品牌，针对“美尔滋酒业”“鑫榄源”“东昌生态农业”等主要单品品牌，深入挖掘产品特色内涵，利用互联网媒体宣传产品、建立质量追溯体系，动态报道产品生产经营状况，建立</w:t>
            </w:r>
            <w:r>
              <w:rPr>
                <w:rFonts w:ascii="宋体" w:hAnsi="宋体" w:eastAsia="宋体" w:cs="仿宋"/>
                <w:kern w:val="0"/>
                <w:sz w:val="24"/>
                <w:lang w:bidi="zh-CN"/>
              </w:rPr>
              <w:t>全网统一标识、授权、定价，打造品牌体系。</w:t>
            </w:r>
          </w:p>
          <w:p w14:paraId="3EF76986">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*农产品质量安全追溯体系建设工程。</w:t>
            </w:r>
            <w:r>
              <w:rPr>
                <w:rFonts w:ascii="宋体" w:hAnsi="宋体" w:eastAsia="宋体" w:cs="仿宋"/>
                <w:kern w:val="0"/>
                <w:sz w:val="24"/>
                <w:lang w:bidi="zh-CN"/>
              </w:rPr>
              <w:t>强化品牌质量管理体系，</w:t>
            </w:r>
            <w:r>
              <w:rPr>
                <w:rFonts w:hint="eastAsia" w:ascii="宋体" w:hAnsi="宋体" w:eastAsia="宋体" w:cs="仿宋"/>
                <w:kern w:val="0"/>
                <w:sz w:val="24"/>
                <w:lang w:bidi="zh-CN"/>
              </w:rPr>
              <w:t>鼓励企业创建自己的品牌，通过品牌效应获得消费者的认可从而获取市场溢价，</w:t>
            </w:r>
            <w:r>
              <w:rPr>
                <w:rFonts w:ascii="宋体" w:hAnsi="宋体" w:eastAsia="宋体" w:cs="仿宋"/>
                <w:kern w:val="0"/>
                <w:sz w:val="24"/>
                <w:lang w:bidi="zh-CN"/>
              </w:rPr>
              <w:t>注重提升上游产品的质量控制水平</w:t>
            </w:r>
            <w:r>
              <w:rPr>
                <w:rFonts w:hint="eastAsia" w:ascii="宋体" w:hAnsi="宋体" w:eastAsia="宋体" w:cs="仿宋"/>
                <w:kern w:val="0"/>
                <w:sz w:val="24"/>
                <w:lang w:bidi="zh-CN"/>
              </w:rPr>
              <w:t>。加强对农产品生产、流通环节的监管，</w:t>
            </w:r>
            <w:r>
              <w:rPr>
                <w:rFonts w:ascii="宋体" w:hAnsi="宋体" w:eastAsia="宋体" w:cs="仿宋"/>
                <w:kern w:val="0"/>
                <w:sz w:val="24"/>
                <w:lang w:bidi="zh-CN"/>
              </w:rPr>
              <w:t>优先将农产品生产企业和农民专业合作经济组织纳入追溯管理范围，然后逐步扩大使用范围，重点实施环节在生产、加工、物流等环节</w:t>
            </w:r>
            <w:r>
              <w:rPr>
                <w:rFonts w:hint="eastAsia" w:ascii="宋体" w:hAnsi="宋体" w:eastAsia="宋体" w:cs="仿宋"/>
                <w:kern w:val="0"/>
                <w:sz w:val="24"/>
                <w:lang w:bidi="zh-CN"/>
              </w:rPr>
              <w:t>。由区农业农村局、区科技与经信局、区商务局、区市场监管局、五小电商等单位牵头加速构筑统一且高效的信息追溯数据库，促进整个供应链的透明度与可追溯性，以辖区龙头生产主体为突破口，加大对经营者的培训力度，大力推广农业农村部建设的农产品质量溯源平台运用。</w:t>
            </w:r>
          </w:p>
          <w:p w14:paraId="2576AFAB">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w:t>
            </w:r>
            <w:r>
              <w:rPr>
                <w:rFonts w:ascii="宋体" w:hAnsi="宋体" w:eastAsia="宋体" w:cs="仿宋"/>
                <w:b/>
                <w:bCs/>
                <w:kern w:val="0"/>
                <w:sz w:val="24"/>
                <w:lang w:bidi="zh-CN"/>
              </w:rPr>
              <w:t>农村电商平台推广</w:t>
            </w:r>
            <w:r>
              <w:rPr>
                <w:rFonts w:hint="eastAsia" w:ascii="宋体" w:hAnsi="宋体" w:eastAsia="宋体" w:cs="仿宋"/>
                <w:b/>
                <w:bCs/>
                <w:kern w:val="0"/>
                <w:sz w:val="24"/>
                <w:lang w:bidi="zh-CN"/>
              </w:rPr>
              <w:t>。</w:t>
            </w:r>
            <w:r>
              <w:rPr>
                <w:rFonts w:ascii="宋体" w:hAnsi="宋体" w:eastAsia="宋体" w:cs="仿宋"/>
                <w:kern w:val="0"/>
                <w:sz w:val="24"/>
                <w:lang w:bidi="zh-CN"/>
              </w:rPr>
              <w:t>鼓励</w:t>
            </w:r>
            <w:r>
              <w:rPr>
                <w:rFonts w:hint="eastAsia" w:ascii="宋体" w:hAnsi="宋体" w:eastAsia="宋体" w:cs="仿宋"/>
                <w:kern w:val="0"/>
                <w:sz w:val="24"/>
                <w:lang w:bidi="zh-CN"/>
              </w:rPr>
              <w:t>和引导</w:t>
            </w:r>
            <w:r>
              <w:rPr>
                <w:rFonts w:ascii="宋体" w:hAnsi="宋体" w:eastAsia="宋体" w:cs="仿宋"/>
                <w:kern w:val="0"/>
                <w:sz w:val="24"/>
                <w:lang w:bidi="zh-CN"/>
              </w:rPr>
              <w:t>行政村、专业合作社、个体经营户搭载</w:t>
            </w:r>
            <w:r>
              <w:rPr>
                <w:rFonts w:hint="eastAsia" w:ascii="宋体" w:hAnsi="宋体" w:eastAsia="宋体" w:cs="仿宋"/>
                <w:kern w:val="0"/>
                <w:sz w:val="24"/>
                <w:lang w:bidi="zh-CN"/>
              </w:rPr>
              <w:t>惠农网、</w:t>
            </w:r>
            <w:r>
              <w:rPr>
                <w:rFonts w:ascii="宋体" w:hAnsi="宋体" w:eastAsia="宋体" w:cs="仿宋"/>
                <w:kern w:val="0"/>
                <w:sz w:val="24"/>
                <w:lang w:bidi="zh-CN"/>
              </w:rPr>
              <w:t>邮乐</w:t>
            </w:r>
            <w:r>
              <w:rPr>
                <w:rFonts w:hint="eastAsia" w:ascii="宋体" w:hAnsi="宋体" w:eastAsia="宋体" w:cs="仿宋"/>
                <w:kern w:val="0"/>
                <w:sz w:val="24"/>
                <w:lang w:bidi="zh-CN"/>
              </w:rPr>
              <w:t>网、支农宝</w:t>
            </w:r>
            <w:r>
              <w:rPr>
                <w:rFonts w:ascii="宋体" w:hAnsi="宋体" w:eastAsia="宋体" w:cs="仿宋"/>
                <w:kern w:val="0"/>
                <w:sz w:val="24"/>
                <w:lang w:bidi="zh-CN"/>
              </w:rPr>
              <w:t>等行业平台，以自主经营或委托运营的方式开展农产品电子商务。培训农村电子商务人才</w:t>
            </w:r>
            <w:r>
              <w:rPr>
                <w:rFonts w:hint="eastAsia" w:ascii="宋体" w:hAnsi="宋体" w:eastAsia="宋体" w:cs="仿宋"/>
                <w:kern w:val="0"/>
                <w:sz w:val="24"/>
                <w:lang w:bidi="zh-CN"/>
              </w:rPr>
              <w:t>和</w:t>
            </w:r>
            <w:r>
              <w:rPr>
                <w:rFonts w:ascii="宋体" w:hAnsi="宋体" w:eastAsia="宋体" w:cs="仿宋"/>
                <w:kern w:val="0"/>
                <w:sz w:val="24"/>
                <w:lang w:bidi="zh-CN"/>
              </w:rPr>
              <w:t>农村网络消费者，帮助农民利用村级电子商务服务站点购买村级服务站没有的且价格实惠的正品工业品、农资产品，支持农业生产，让农民切实享受电子商务带来的实惠。</w:t>
            </w:r>
          </w:p>
        </w:tc>
      </w:tr>
    </w:tbl>
    <w:p w14:paraId="0AE85206">
      <w:pPr>
        <w:autoSpaceDE w:val="0"/>
        <w:autoSpaceDN w:val="0"/>
        <w:spacing w:before="185" w:line="360" w:lineRule="auto"/>
        <w:rPr>
          <w:rFonts w:ascii="宋体" w:hAnsi="宋体" w:eastAsia="宋体" w:cs="仿宋"/>
          <w:kern w:val="0"/>
          <w:sz w:val="24"/>
          <w:lang w:bidi="zh-CN"/>
        </w:rPr>
      </w:pPr>
      <w:r>
        <w:rPr>
          <w:rFonts w:hint="eastAsia" w:ascii="宋体" w:hAnsi="宋体" w:eastAsia="宋体" w:cs="仿宋"/>
          <w:kern w:val="0"/>
          <w:sz w:val="24"/>
          <w:lang w:bidi="zh-CN"/>
        </w:rPr>
        <w:t xml:space="preserve">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7238"/>
      </w:tblGrid>
      <w:tr w14:paraId="2DCA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dxa"/>
            <w:tcBorders>
              <w:top w:val="single" w:color="auto" w:sz="4" w:space="0"/>
              <w:left w:val="single" w:color="auto" w:sz="4" w:space="0"/>
              <w:bottom w:val="single" w:color="auto" w:sz="4" w:space="0"/>
              <w:right w:val="single" w:color="auto" w:sz="4" w:space="0"/>
              <w:tl2br w:val="nil"/>
              <w:tr2bl w:val="nil"/>
            </w:tcBorders>
          </w:tcPr>
          <w:p w14:paraId="02498FD3">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w:t>
            </w:r>
            <w:r>
              <w:rPr>
                <w:rFonts w:hint="eastAsia" w:ascii="宋体" w:hAnsi="宋体" w:eastAsia="宋体" w:cs="仿宋"/>
                <w:b/>
                <w:kern w:val="0"/>
                <w:sz w:val="24"/>
                <w:lang w:bidi="zh-CN"/>
              </w:rPr>
              <w:t>五</w:t>
            </w:r>
          </w:p>
        </w:tc>
        <w:tc>
          <w:tcPr>
            <w:tcW w:w="7238" w:type="dxa"/>
            <w:tcBorders>
              <w:top w:val="single" w:color="auto" w:sz="4" w:space="0"/>
              <w:left w:val="single" w:color="auto" w:sz="4" w:space="0"/>
              <w:bottom w:val="single" w:color="auto" w:sz="4" w:space="0"/>
              <w:right w:val="single" w:color="auto" w:sz="4" w:space="0"/>
              <w:tl2br w:val="nil"/>
              <w:tr2bl w:val="nil"/>
            </w:tcBorders>
          </w:tcPr>
          <w:p w14:paraId="3004AC89">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bidi="zh-CN"/>
              </w:rPr>
              <w:t>工业电子商务应用工程</w:t>
            </w:r>
          </w:p>
        </w:tc>
      </w:tr>
      <w:tr w14:paraId="1008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l2br w:val="nil"/>
              <w:tr2bl w:val="nil"/>
            </w:tcBorders>
          </w:tcPr>
          <w:p w14:paraId="3A6750BC">
            <w:pPr>
              <w:spacing w:line="360" w:lineRule="auto"/>
              <w:rPr>
                <w:rFonts w:ascii="宋体" w:hAnsi="宋体" w:eastAsia="宋体" w:cs="仿宋"/>
                <w:bCs/>
                <w:kern w:val="0"/>
                <w:sz w:val="24"/>
                <w:lang w:bidi="zh-CN"/>
              </w:rPr>
            </w:pPr>
            <w:bookmarkStart w:id="79" w:name="_Toc28983"/>
            <w:r>
              <w:rPr>
                <w:rFonts w:hint="eastAsia" w:ascii="宋体" w:hAnsi="宋体" w:eastAsia="宋体" w:cs="仿宋"/>
                <w:b/>
                <w:bCs/>
                <w:kern w:val="0"/>
                <w:sz w:val="24"/>
                <w:lang w:bidi="zh-CN"/>
              </w:rPr>
              <w:t>*工业企业信息化改造。</w:t>
            </w:r>
            <w:r>
              <w:rPr>
                <w:rFonts w:ascii="宋体" w:hAnsi="宋体" w:eastAsia="宋体" w:cs="仿宋"/>
                <w:kern w:val="0"/>
                <w:sz w:val="24"/>
                <w:lang w:bidi="zh-CN"/>
              </w:rPr>
              <w:t>通过应用现代信息技术，对企业的生产、管理、销售等各个环节进行全面的数字化、网络化和智能化改造，以提高企业的生产效率、管理水平和市场竞争力。</w:t>
            </w:r>
            <w:bookmarkEnd w:id="79"/>
            <w:r>
              <w:rPr>
                <w:rFonts w:hint="eastAsia" w:ascii="宋体" w:hAnsi="宋体" w:eastAsia="宋体" w:cs="仿宋"/>
                <w:kern w:val="0"/>
                <w:sz w:val="24"/>
                <w:lang w:bidi="zh-CN"/>
              </w:rPr>
              <w:t>引导工业企业</w:t>
            </w:r>
            <w:r>
              <w:rPr>
                <w:rFonts w:ascii="宋体" w:hAnsi="宋体" w:eastAsia="宋体" w:cs="仿宋"/>
                <w:kern w:val="0"/>
                <w:sz w:val="24"/>
                <w:lang w:bidi="zh-CN"/>
              </w:rPr>
              <w:t>明确数字化改造的目标、范围和重点，制定符合企业实际情况的数字化战略</w:t>
            </w:r>
            <w:r>
              <w:rPr>
                <w:rFonts w:hint="eastAsia" w:ascii="宋体" w:hAnsi="宋体" w:eastAsia="宋体" w:cs="仿宋"/>
                <w:kern w:val="0"/>
                <w:sz w:val="24"/>
                <w:lang w:bidi="zh-CN"/>
              </w:rPr>
              <w:t>。支持工业企业</w:t>
            </w:r>
            <w:r>
              <w:rPr>
                <w:rFonts w:ascii="宋体" w:hAnsi="宋体" w:eastAsia="宋体" w:cs="仿宋"/>
                <w:kern w:val="0"/>
                <w:sz w:val="24"/>
                <w:lang w:bidi="zh-CN"/>
              </w:rPr>
              <w:t>实现数据的集中存储、处理和分析，支持多业务场景的协同，提升数据共享和利用效率</w:t>
            </w:r>
            <w:r>
              <w:rPr>
                <w:rFonts w:hint="eastAsia" w:ascii="宋体" w:hAnsi="宋体" w:eastAsia="宋体" w:cs="仿宋"/>
                <w:kern w:val="0"/>
                <w:sz w:val="24"/>
                <w:lang w:bidi="zh-CN"/>
              </w:rPr>
              <w:t>。鼓励工业企业</w:t>
            </w:r>
            <w:r>
              <w:rPr>
                <w:rFonts w:ascii="宋体" w:hAnsi="宋体" w:eastAsia="宋体" w:cs="仿宋"/>
                <w:kern w:val="0"/>
                <w:sz w:val="24"/>
                <w:lang w:bidi="zh-CN"/>
              </w:rPr>
              <w:t>通过数字化技术，对业务流程进行全面梳理和优化，实现业务流程的自动化、智能化</w:t>
            </w:r>
            <w:r>
              <w:rPr>
                <w:rFonts w:hint="eastAsia" w:ascii="宋体" w:hAnsi="宋体" w:eastAsia="宋体" w:cs="仿宋"/>
                <w:kern w:val="0"/>
                <w:sz w:val="24"/>
                <w:lang w:bidi="zh-CN"/>
              </w:rPr>
              <w:t>。重点培育和扶持一批在流程创新、模式创新、技术创新方面卓有成效的典型企业，通过宣传推广提升企业信息化应用水平。</w:t>
            </w:r>
          </w:p>
          <w:p w14:paraId="622F668E">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*工业企业电子商务转型。</w:t>
            </w:r>
            <w:r>
              <w:rPr>
                <w:rFonts w:hint="eastAsia" w:ascii="宋体" w:hAnsi="宋体" w:eastAsia="宋体" w:cs="仿宋"/>
                <w:kern w:val="0"/>
                <w:sz w:val="24"/>
                <w:lang w:bidi="zh-CN"/>
              </w:rPr>
              <w:t>积极推动高新区及周边村镇传统工业企业转变思路，调整发展方向，</w:t>
            </w:r>
            <w:r>
              <w:rPr>
                <w:rFonts w:ascii="宋体" w:hAnsi="宋体" w:eastAsia="宋体" w:cs="仿宋"/>
                <w:kern w:val="0"/>
                <w:sz w:val="24"/>
                <w:lang w:bidi="zh-CN"/>
              </w:rPr>
              <w:t>通过应用电子商务技术和平台，实现企业内部管理和外部交易的数字化、网络化和智能化，从而提升企业的运营效率、市场竞争力和客户服务水平。</w:t>
            </w:r>
            <w:r>
              <w:rPr>
                <w:rFonts w:hint="eastAsia" w:ascii="宋体" w:hAnsi="宋体" w:eastAsia="宋体" w:cs="仿宋"/>
                <w:kern w:val="0"/>
                <w:sz w:val="24"/>
                <w:lang w:bidi="zh-CN"/>
              </w:rPr>
              <w:t>鼓励新能源和智能网联汽车产业、新材料、生物科技等行业生产企业</w:t>
            </w:r>
            <w:r>
              <w:rPr>
                <w:rFonts w:ascii="宋体" w:hAnsi="宋体" w:eastAsia="宋体" w:cs="仿宋"/>
                <w:kern w:val="0"/>
                <w:sz w:val="24"/>
                <w:lang w:bidi="zh-CN"/>
              </w:rPr>
              <w:t>加大数字化转型力度，引入大数据、人工智能等先进技术，实现生产、销售、库存等环节的数字化管理，提高决策效率和准确性。</w:t>
            </w:r>
            <w:r>
              <w:rPr>
                <w:rFonts w:hint="eastAsia" w:ascii="宋体" w:hAnsi="宋体" w:eastAsia="宋体" w:cs="仿宋"/>
                <w:kern w:val="0"/>
                <w:sz w:val="24"/>
                <w:lang w:bidi="zh-CN"/>
              </w:rPr>
              <w:t>支持工业企业</w:t>
            </w:r>
            <w:r>
              <w:rPr>
                <w:rFonts w:ascii="宋体" w:hAnsi="宋体" w:eastAsia="宋体" w:cs="仿宋"/>
                <w:kern w:val="0"/>
                <w:sz w:val="24"/>
                <w:lang w:bidi="zh-CN"/>
              </w:rPr>
              <w:t>制定有针对性的营销策略，从传统线下为主转向线上平台，构建全渠道销售模式</w:t>
            </w:r>
            <w:r>
              <w:rPr>
                <w:rFonts w:hint="eastAsia" w:ascii="宋体" w:hAnsi="宋体" w:eastAsia="宋体" w:cs="仿宋"/>
                <w:kern w:val="0"/>
                <w:sz w:val="24"/>
                <w:lang w:bidi="zh-CN"/>
              </w:rPr>
              <w:t>，</w:t>
            </w:r>
            <w:r>
              <w:rPr>
                <w:rFonts w:ascii="宋体" w:hAnsi="宋体" w:eastAsia="宋体" w:cs="仿宋"/>
                <w:kern w:val="0"/>
                <w:sz w:val="24"/>
                <w:lang w:bidi="zh-CN"/>
              </w:rPr>
              <w:t>利用社交媒体、搜索引擎优化等手段提高品牌知名度和曝光率。</w:t>
            </w:r>
            <w:r>
              <w:rPr>
                <w:rFonts w:hint="eastAsia" w:ascii="宋体" w:hAnsi="宋体" w:eastAsia="宋体" w:cs="仿宋"/>
                <w:kern w:val="0"/>
                <w:sz w:val="24"/>
                <w:lang w:bidi="zh-CN"/>
              </w:rPr>
              <w:t>充分利用企业在产业链中所承担的专业化生产和协同配套角色，以提升整体运营效率与市场竞争力，大力推动传统商业企业发展B2B、B2C业务。依托高新技术产业园，形成“一主三优多支撑”产业特色明显、产业链完善、服务体系健全的电子商务产业集聚区，实现电子商务与特色产业融合发展。</w:t>
            </w:r>
          </w:p>
          <w:p w14:paraId="7C14086D">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*工业企业电商平台融入。</w:t>
            </w:r>
            <w:r>
              <w:rPr>
                <w:rFonts w:hint="eastAsia" w:ascii="宋体" w:hAnsi="宋体" w:eastAsia="宋体" w:cs="仿宋"/>
                <w:kern w:val="0"/>
                <w:sz w:val="24"/>
                <w:lang w:bidi="zh-CN"/>
              </w:rPr>
              <w:t>鼓励大运、神河、燕钢、万润新能源等重点企业建设垂直门户及交易网站，在汽车及零配件领域打造全国领先的，集产品展示、交易、支付、物流、服务为一体的行业电子商务平台，带动产业链上下游联动发展。支持与推动企业加入汽配人网等垂直工业互联网平台，整合提升现有行业电子商务平台服务功能，推进行业平台向信息流、物流和资金流等综合服务平台发展。</w:t>
            </w:r>
          </w:p>
        </w:tc>
      </w:tr>
    </w:tbl>
    <w:p w14:paraId="072C70F2">
      <w:pPr>
        <w:autoSpaceDE w:val="0"/>
        <w:autoSpaceDN w:val="0"/>
        <w:spacing w:before="185" w:line="360" w:lineRule="auto"/>
        <w:rPr>
          <w:rFonts w:ascii="宋体" w:hAnsi="宋体" w:eastAsia="宋体" w:cs="仿宋"/>
          <w:kern w:val="0"/>
          <w:sz w:val="24"/>
          <w:lang w:bidi="zh-CN"/>
        </w:rPr>
      </w:pPr>
    </w:p>
    <w:p w14:paraId="27C662DE">
      <w:pPr>
        <w:autoSpaceDE w:val="0"/>
        <w:autoSpaceDN w:val="0"/>
        <w:spacing w:before="185" w:line="360" w:lineRule="auto"/>
        <w:rPr>
          <w:rFonts w:ascii="宋体" w:hAnsi="宋体" w:eastAsia="宋体" w:cs="仿宋"/>
          <w:kern w:val="0"/>
          <w:sz w:val="24"/>
          <w:lang w:bidi="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7036"/>
      </w:tblGrid>
      <w:tr w14:paraId="152D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l2br w:val="nil"/>
              <w:tr2bl w:val="nil"/>
            </w:tcBorders>
          </w:tcPr>
          <w:p w14:paraId="0B024306">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w:t>
            </w:r>
            <w:r>
              <w:rPr>
                <w:rFonts w:hint="eastAsia" w:ascii="宋体" w:hAnsi="宋体" w:eastAsia="宋体" w:cs="仿宋"/>
                <w:b/>
                <w:kern w:val="0"/>
                <w:sz w:val="24"/>
                <w:lang w:bidi="zh-CN"/>
              </w:rPr>
              <w:t>六</w:t>
            </w:r>
          </w:p>
        </w:tc>
        <w:tc>
          <w:tcPr>
            <w:tcW w:w="7036" w:type="dxa"/>
            <w:tcBorders>
              <w:top w:val="single" w:color="auto" w:sz="4" w:space="0"/>
              <w:left w:val="single" w:color="auto" w:sz="4" w:space="0"/>
              <w:bottom w:val="single" w:color="auto" w:sz="4" w:space="0"/>
              <w:right w:val="single" w:color="auto" w:sz="4" w:space="0"/>
              <w:tl2br w:val="nil"/>
              <w:tr2bl w:val="nil"/>
            </w:tcBorders>
          </w:tcPr>
          <w:p w14:paraId="0C98850A">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bidi="zh-CN"/>
              </w:rPr>
              <w:t>文旅行业电子商务打造工程</w:t>
            </w:r>
          </w:p>
        </w:tc>
      </w:tr>
      <w:tr w14:paraId="7A72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Borders>
              <w:top w:val="single" w:color="auto" w:sz="4" w:space="0"/>
              <w:left w:val="single" w:color="auto" w:sz="4" w:space="0"/>
              <w:bottom w:val="single" w:color="auto" w:sz="4" w:space="0"/>
              <w:right w:val="single" w:color="auto" w:sz="4" w:space="0"/>
              <w:tl2br w:val="nil"/>
              <w:tr2bl w:val="nil"/>
            </w:tcBorders>
          </w:tcPr>
          <w:p w14:paraId="5DADF366">
            <w:pPr>
              <w:spacing w:line="360" w:lineRule="auto"/>
              <w:rPr>
                <w:rFonts w:ascii="宋体" w:hAnsi="宋体" w:eastAsia="宋体" w:cs="仿宋"/>
                <w:bCs/>
                <w:kern w:val="0"/>
                <w:sz w:val="24"/>
                <w:lang w:bidi="zh-CN"/>
              </w:rPr>
            </w:pPr>
            <w:bookmarkStart w:id="80" w:name="_Toc18994"/>
            <w:r>
              <w:rPr>
                <w:rFonts w:hint="eastAsia" w:ascii="宋体" w:hAnsi="宋体" w:eastAsia="宋体" w:cs="仿宋"/>
                <w:b/>
                <w:bCs/>
                <w:kern w:val="0"/>
                <w:sz w:val="24"/>
                <w:lang w:bidi="zh-CN"/>
              </w:rPr>
              <w:t>*旅游产业信息化改造。</w:t>
            </w:r>
            <w:r>
              <w:rPr>
                <w:rFonts w:hint="eastAsia" w:ascii="宋体" w:hAnsi="宋体" w:eastAsia="宋体" w:cs="仿宋"/>
                <w:bCs/>
                <w:kern w:val="0"/>
                <w:sz w:val="24"/>
                <w:lang w:bidi="zh-CN"/>
              </w:rPr>
              <w:t>加强郧阳旅游资源信息化建设，开发郧阳旅游网门户网站，推介旅游产品、旅游服务、旅游活动，与襄阳、荆州、随州等周边城市签订区域旅游战略合作协议，鼓励周边的旅游、住宿餐饮娱乐等企业开展电子商务。推动当地武当不夜城、绿松石国家矿山公园、恐龙化石遗址等景点在“美团”“抖音”“飞猪”“携程旅行”第三方旅游平台上线门票，同时运用抖音、微博、小红书等新媒体开展网红推广、“直播种草”营销方式引流，形成线上旅游资源推广、线下旅游观光、特色产品直销等融合发展模式。</w:t>
            </w:r>
            <w:bookmarkEnd w:id="80"/>
          </w:p>
          <w:p w14:paraId="12472761">
            <w:pPr>
              <w:spacing w:line="360" w:lineRule="auto"/>
              <w:rPr>
                <w:rFonts w:ascii="宋体" w:hAnsi="宋体" w:eastAsia="宋体" w:cs="仿宋"/>
                <w:bCs/>
                <w:kern w:val="0"/>
                <w:sz w:val="24"/>
                <w:lang w:bidi="zh-CN"/>
              </w:rPr>
            </w:pPr>
            <w:r>
              <w:rPr>
                <w:rFonts w:hint="eastAsia" w:ascii="宋体" w:hAnsi="宋体" w:eastAsia="宋体" w:cs="仿宋"/>
                <w:b/>
                <w:kern w:val="0"/>
                <w:sz w:val="24"/>
                <w:lang w:bidi="zh-CN"/>
              </w:rPr>
              <w:t>*文旅产品打造。</w:t>
            </w:r>
            <w:r>
              <w:rPr>
                <w:rFonts w:hint="eastAsia" w:ascii="宋体" w:hAnsi="宋体" w:eastAsia="宋体" w:cs="仿宋"/>
                <w:bCs/>
                <w:kern w:val="0"/>
                <w:sz w:val="24"/>
                <w:lang w:bidi="zh-CN"/>
              </w:rPr>
              <w:t>以武当文化、荆楚文化、汉水文化、郧阳抚治文化、绿松石文化等旅游文化为载体，依托汉水九歌、中华水园、“郧县人”遗址等旅游资源旅游大背景，设计遗址考古、非遗技艺体验、汉水风光等精品旅游产品和旅游线路，开展主题旅游文化活动，营销旅游产品。</w:t>
            </w:r>
          </w:p>
          <w:p w14:paraId="2433965F">
            <w:pPr>
              <w:spacing w:line="360" w:lineRule="auto"/>
              <w:rPr>
                <w:rFonts w:ascii="宋体" w:hAnsi="宋体" w:eastAsia="宋体" w:cs="仿宋"/>
                <w:bCs/>
                <w:kern w:val="0"/>
                <w:sz w:val="24"/>
                <w:lang w:bidi="zh-CN"/>
              </w:rPr>
            </w:pPr>
            <w:r>
              <w:rPr>
                <w:rFonts w:hint="eastAsia" w:ascii="宋体" w:hAnsi="宋体" w:eastAsia="宋体" w:cs="仿宋"/>
                <w:b/>
                <w:kern w:val="0"/>
                <w:sz w:val="24"/>
                <w:lang w:bidi="zh-CN"/>
              </w:rPr>
              <w:t>*农文旅融合创新。</w:t>
            </w:r>
            <w:r>
              <w:rPr>
                <w:rFonts w:hint="eastAsia" w:ascii="宋体" w:hAnsi="宋体" w:eastAsia="宋体" w:cs="仿宋"/>
                <w:bCs/>
                <w:kern w:val="0"/>
                <w:sz w:val="24"/>
                <w:lang w:bidi="zh-CN"/>
              </w:rPr>
              <w:t>大力发展基于现代农业与旅游业有机结合的旅游新产品。大力推进柳陂镇“智慧农业+文化旅游”示范片区的打造，充分发挥“武当不夜城”的品牌效应，依托宇翔农场、龙韵生态农场，青龙山国家地质公园、郧阳府儒学宫、祥源湾、月亮湖等一批网红“打卡地”开发观光农业、休闲体验农业。</w:t>
            </w:r>
          </w:p>
          <w:p w14:paraId="140E2F6C">
            <w:pPr>
              <w:spacing w:line="360" w:lineRule="auto"/>
              <w:rPr>
                <w:rFonts w:ascii="宋体" w:hAnsi="宋体" w:eastAsia="宋体" w:cs="仿宋"/>
                <w:bCs/>
                <w:kern w:val="0"/>
                <w:sz w:val="24"/>
                <w:lang w:bidi="zh-CN"/>
              </w:rPr>
            </w:pPr>
            <w:r>
              <w:rPr>
                <w:rFonts w:hint="eastAsia" w:ascii="宋体" w:hAnsi="宋体" w:eastAsia="宋体" w:cs="仿宋"/>
                <w:b/>
                <w:kern w:val="0"/>
                <w:sz w:val="24"/>
                <w:lang w:bidi="zh-CN"/>
              </w:rPr>
              <w:t>*文旅消费新场景拓展</w:t>
            </w:r>
            <w:r>
              <w:rPr>
                <w:rFonts w:hint="eastAsia" w:ascii="宋体" w:hAnsi="宋体" w:eastAsia="宋体" w:cs="仿宋"/>
                <w:bCs/>
                <w:kern w:val="0"/>
                <w:sz w:val="24"/>
                <w:lang w:bidi="zh-CN"/>
              </w:rPr>
              <w:t>。推动城乡文旅提质增效，充分挖掘城市和乡村潜在的发展空间，利用AR/VR、人工智能等技术，提供沉浸式体验，增强旅游的科技感和互动性，重点打造武当不夜城、汉江一河两岸风情街、郧阳老城等文旅消费场景，推出“武当之夜”“汉江情”等系列演出以及郧阳美食市集、红色主题展览等主题活动，拓宽文旅产业的消费场景，激发消费新动能。</w:t>
            </w:r>
          </w:p>
        </w:tc>
      </w:tr>
    </w:tbl>
    <w:p w14:paraId="1F8D7B98">
      <w:pPr>
        <w:autoSpaceDE w:val="0"/>
        <w:autoSpaceDN w:val="0"/>
        <w:spacing w:before="185" w:line="360" w:lineRule="auto"/>
        <w:rPr>
          <w:rFonts w:ascii="宋体" w:hAnsi="宋体" w:eastAsia="宋体" w:cs="仿宋"/>
          <w:kern w:val="0"/>
          <w:sz w:val="24"/>
          <w:lang w:bidi="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7238"/>
      </w:tblGrid>
      <w:tr w14:paraId="47C4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dxa"/>
            <w:tcBorders>
              <w:top w:val="single" w:color="auto" w:sz="4" w:space="0"/>
              <w:left w:val="single" w:color="auto" w:sz="4" w:space="0"/>
              <w:bottom w:val="single" w:color="auto" w:sz="4" w:space="0"/>
              <w:right w:val="single" w:color="auto" w:sz="4" w:space="0"/>
              <w:tl2br w:val="nil"/>
              <w:tr2bl w:val="nil"/>
            </w:tcBorders>
          </w:tcPr>
          <w:p w14:paraId="32B55FC2">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专栏七</w:t>
            </w:r>
          </w:p>
        </w:tc>
        <w:tc>
          <w:tcPr>
            <w:tcW w:w="7238" w:type="dxa"/>
            <w:tcBorders>
              <w:top w:val="single" w:color="auto" w:sz="4" w:space="0"/>
              <w:left w:val="single" w:color="auto" w:sz="4" w:space="0"/>
              <w:bottom w:val="single" w:color="auto" w:sz="4" w:space="0"/>
              <w:right w:val="single" w:color="auto" w:sz="4" w:space="0"/>
              <w:tl2br w:val="nil"/>
              <w:tr2bl w:val="nil"/>
            </w:tcBorders>
          </w:tcPr>
          <w:p w14:paraId="15B2EC36">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bidi="zh-CN"/>
              </w:rPr>
              <w:t>直播电商创新发展工程</w:t>
            </w:r>
          </w:p>
        </w:tc>
      </w:tr>
      <w:tr w14:paraId="0605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l2br w:val="nil"/>
              <w:tr2bl w:val="nil"/>
            </w:tcBorders>
          </w:tcPr>
          <w:p w14:paraId="657593CD">
            <w:pPr>
              <w:widowControl/>
              <w:spacing w:line="360" w:lineRule="auto"/>
              <w:rPr>
                <w:rFonts w:ascii="宋体" w:hAnsi="宋体" w:eastAsia="宋体" w:cs="宋体"/>
                <w:kern w:val="0"/>
                <w:sz w:val="24"/>
              </w:rPr>
            </w:pPr>
            <w:r>
              <w:rPr>
                <w:rFonts w:hint="eastAsia" w:ascii="宋体" w:hAnsi="宋体" w:eastAsia="宋体" w:cs="仿宋"/>
                <w:kern w:val="0"/>
                <w:sz w:val="24"/>
                <w:lang w:bidi="zh-CN"/>
              </w:rPr>
              <w:t>*</w:t>
            </w:r>
            <w:r>
              <w:rPr>
                <w:rFonts w:hint="eastAsia" w:ascii="宋体" w:hAnsi="宋体" w:eastAsia="宋体" w:cs="仿宋"/>
                <w:b/>
                <w:kern w:val="0"/>
                <w:sz w:val="24"/>
                <w:lang w:bidi="zh-CN"/>
              </w:rPr>
              <w:t>直播电商产业集群构建。</w:t>
            </w:r>
            <w:r>
              <w:rPr>
                <w:rFonts w:hint="eastAsia" w:ascii="宋体" w:hAnsi="宋体" w:eastAsia="宋体" w:cs="仿宋"/>
                <w:kern w:val="0"/>
                <w:sz w:val="24"/>
                <w:lang w:bidi="zh-CN"/>
              </w:rPr>
              <w:t>依托十堰北数字电商中心等平台，建设一批公共直播间，培育一批</w:t>
            </w:r>
            <w:r>
              <w:rPr>
                <w:rFonts w:ascii="宋体" w:hAnsi="宋体" w:eastAsia="宋体" w:cs="仿宋"/>
                <w:kern w:val="0"/>
                <w:sz w:val="24"/>
                <w:lang w:bidi="zh-CN"/>
              </w:rPr>
              <w:t>“</w:t>
            </w:r>
            <w:r>
              <w:rPr>
                <w:rFonts w:hint="eastAsia" w:ascii="宋体" w:hAnsi="宋体" w:eastAsia="宋体" w:cs="仿宋"/>
                <w:kern w:val="0"/>
                <w:sz w:val="24"/>
                <w:lang w:bidi="zh-CN"/>
              </w:rPr>
              <w:t>小而精</w:t>
            </w:r>
            <w:r>
              <w:rPr>
                <w:rFonts w:ascii="宋体" w:hAnsi="宋体" w:eastAsia="宋体" w:cs="仿宋"/>
                <w:kern w:val="0"/>
                <w:sz w:val="24"/>
                <w:lang w:bidi="zh-CN"/>
              </w:rPr>
              <w:t>”“</w:t>
            </w:r>
            <w:r>
              <w:rPr>
                <w:rFonts w:hint="eastAsia" w:ascii="宋体" w:hAnsi="宋体" w:eastAsia="宋体" w:cs="仿宋"/>
                <w:kern w:val="0"/>
                <w:sz w:val="24"/>
                <w:lang w:bidi="zh-CN"/>
              </w:rPr>
              <w:t>小而美</w:t>
            </w:r>
            <w:r>
              <w:rPr>
                <w:rFonts w:ascii="宋体" w:hAnsi="宋体" w:eastAsia="宋体" w:cs="仿宋"/>
                <w:kern w:val="0"/>
                <w:sz w:val="24"/>
                <w:lang w:bidi="zh-CN"/>
              </w:rPr>
              <w:t>”</w:t>
            </w:r>
            <w:r>
              <w:rPr>
                <w:rFonts w:hint="eastAsia" w:ascii="宋体" w:hAnsi="宋体" w:eastAsia="宋体" w:cs="仿宋"/>
                <w:kern w:val="0"/>
                <w:sz w:val="24"/>
                <w:lang w:bidi="zh-CN"/>
              </w:rPr>
              <w:t>的直播生态企业，整合直播电商产业全链条服务，打造具有郧阳特色的直播电商产业基地、直播电商小镇，</w:t>
            </w:r>
            <w:r>
              <w:rPr>
                <w:rFonts w:ascii="宋体" w:hAnsi="宋体" w:eastAsia="宋体" w:cs="宋体"/>
                <w:kern w:val="0"/>
                <w:sz w:val="24"/>
              </w:rPr>
              <w:t>带动活动策划、内容创作、视频技术、直播器材、场景搭建、内容生产、IP孵化等直播基础设施与服务供应体系的建设，吸引国内外优质电商直播平台、经纪公司等入驻，形成电商直播产业集群。</w:t>
            </w:r>
          </w:p>
          <w:p w14:paraId="0076CD7B">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w:t>
            </w:r>
            <w:r>
              <w:rPr>
                <w:rFonts w:hint="eastAsia" w:ascii="宋体" w:hAnsi="宋体" w:eastAsia="宋体" w:cs="仿宋"/>
                <w:b/>
                <w:kern w:val="0"/>
                <w:sz w:val="24"/>
                <w:lang w:bidi="zh-CN"/>
              </w:rPr>
              <w:t>直播电商团队建设。</w:t>
            </w:r>
            <w:r>
              <w:rPr>
                <w:rFonts w:hint="eastAsia" w:ascii="宋体" w:hAnsi="宋体" w:eastAsia="宋体" w:cs="仿宋"/>
                <w:kern w:val="0"/>
                <w:sz w:val="24"/>
                <w:lang w:bidi="zh-CN"/>
              </w:rPr>
              <w:t>以网红直播大赛、电商直播节等活动为契机，持续推进郧阳网红</w:t>
            </w:r>
            <w:r>
              <w:rPr>
                <w:rFonts w:ascii="宋体" w:hAnsi="宋体" w:eastAsia="宋体" w:cs="仿宋"/>
                <w:kern w:val="0"/>
                <w:sz w:val="24"/>
                <w:lang w:bidi="zh-CN"/>
              </w:rPr>
              <w:t>“</w:t>
            </w:r>
            <w:r>
              <w:rPr>
                <w:rFonts w:hint="eastAsia" w:ascii="宋体" w:hAnsi="宋体" w:eastAsia="宋体" w:cs="仿宋"/>
                <w:kern w:val="0"/>
                <w:sz w:val="24"/>
                <w:lang w:bidi="zh-CN"/>
              </w:rPr>
              <w:t>人才库</w:t>
            </w:r>
            <w:r>
              <w:rPr>
                <w:rFonts w:ascii="宋体" w:hAnsi="宋体" w:eastAsia="宋体" w:cs="仿宋"/>
                <w:kern w:val="0"/>
                <w:sz w:val="24"/>
                <w:lang w:bidi="zh-CN"/>
              </w:rPr>
              <w:t>”</w:t>
            </w:r>
            <w:r>
              <w:rPr>
                <w:rFonts w:hint="eastAsia" w:ascii="宋体" w:hAnsi="宋体" w:eastAsia="宋体" w:cs="仿宋"/>
                <w:kern w:val="0"/>
                <w:sz w:val="24"/>
                <w:lang w:bidi="zh-CN"/>
              </w:rPr>
              <w:t>建立，培育一批网红直播达人，孵化一批网红品牌。鼓励区内企业通过与专业的直播机构、</w:t>
            </w:r>
            <w:r>
              <w:rPr>
                <w:rFonts w:ascii="宋体" w:hAnsi="宋体" w:eastAsia="宋体" w:cs="仿宋"/>
                <w:kern w:val="0"/>
                <w:sz w:val="24"/>
                <w:lang w:bidi="zh-CN"/>
              </w:rPr>
              <w:t>MCN</w:t>
            </w:r>
            <w:r>
              <w:rPr>
                <w:rFonts w:hint="eastAsia" w:ascii="宋体" w:hAnsi="宋体" w:eastAsia="宋体" w:cs="仿宋"/>
                <w:kern w:val="0"/>
                <w:sz w:val="24"/>
                <w:lang w:bidi="zh-CN"/>
              </w:rPr>
              <w:t>机构合作，或引入和培育有实力的主播团队，构建适合自身的直播体系，实现向新型电商企业转型。</w:t>
            </w:r>
          </w:p>
          <w:p w14:paraId="40EB0896">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w:t>
            </w:r>
            <w:r>
              <w:rPr>
                <w:rFonts w:ascii="宋体" w:hAnsi="宋体" w:eastAsia="宋体" w:cs="仿宋"/>
                <w:b/>
                <w:bCs/>
                <w:kern w:val="0"/>
                <w:sz w:val="24"/>
                <w:lang w:bidi="zh-CN"/>
              </w:rPr>
              <w:t>直播电商</w:t>
            </w:r>
            <w:r>
              <w:rPr>
                <w:rFonts w:hint="eastAsia" w:ascii="宋体" w:hAnsi="宋体" w:eastAsia="宋体" w:cs="仿宋"/>
                <w:b/>
                <w:bCs/>
                <w:kern w:val="0"/>
                <w:sz w:val="24"/>
                <w:lang w:bidi="zh-CN"/>
              </w:rPr>
              <w:t>人才</w:t>
            </w:r>
            <w:r>
              <w:rPr>
                <w:rFonts w:ascii="宋体" w:hAnsi="宋体" w:eastAsia="宋体" w:cs="仿宋"/>
                <w:b/>
                <w:bCs/>
                <w:kern w:val="0"/>
                <w:sz w:val="24"/>
                <w:lang w:bidi="zh-CN"/>
              </w:rPr>
              <w:t>培训</w:t>
            </w:r>
            <w:r>
              <w:rPr>
                <w:rFonts w:hint="eastAsia" w:ascii="宋体" w:hAnsi="宋体" w:eastAsia="宋体" w:cs="仿宋"/>
                <w:b/>
                <w:bCs/>
                <w:kern w:val="0"/>
                <w:sz w:val="24"/>
                <w:lang w:bidi="zh-CN"/>
              </w:rPr>
              <w:t>。</w:t>
            </w:r>
            <w:r>
              <w:rPr>
                <w:rFonts w:ascii="宋体" w:hAnsi="宋体" w:eastAsia="宋体" w:cs="仿宋"/>
                <w:kern w:val="0"/>
                <w:sz w:val="24"/>
                <w:lang w:bidi="zh-CN"/>
              </w:rPr>
              <w:t>对接有培训能力的直播平台、高校、职业院校、MCN机构等主体，面向本地传统电商企业从业者、农民个体、院校学生等分类开展短视频直播培训</w:t>
            </w:r>
            <w:r>
              <w:rPr>
                <w:rFonts w:hint="eastAsia" w:ascii="宋体" w:hAnsi="宋体" w:eastAsia="宋体" w:cs="仿宋"/>
                <w:kern w:val="0"/>
                <w:sz w:val="24"/>
                <w:lang w:bidi="zh-CN"/>
              </w:rPr>
              <w:t>，</w:t>
            </w:r>
            <w:r>
              <w:rPr>
                <w:rFonts w:ascii="宋体" w:hAnsi="宋体" w:eastAsia="宋体" w:cs="仿宋"/>
                <w:kern w:val="0"/>
                <w:sz w:val="24"/>
                <w:lang w:bidi="zh-CN"/>
              </w:rPr>
              <w:t>提升完善选品、内容展示、数据分析、直播孵化等技能，每年围绕直播电商开展培训不少于</w:t>
            </w:r>
            <w:r>
              <w:rPr>
                <w:rFonts w:hint="eastAsia" w:ascii="宋体" w:hAnsi="宋体" w:eastAsia="宋体" w:cs="仿宋"/>
                <w:kern w:val="0"/>
                <w:sz w:val="24"/>
                <w:lang w:bidi="zh-CN"/>
              </w:rPr>
              <w:t>1</w:t>
            </w:r>
            <w:r>
              <w:rPr>
                <w:rFonts w:ascii="宋体" w:hAnsi="宋体" w:eastAsia="宋体" w:cs="仿宋"/>
                <w:kern w:val="0"/>
                <w:sz w:val="24"/>
                <w:lang w:bidi="zh-CN"/>
              </w:rPr>
              <w:t>0场次，在三年内培养一批熟练掌握直播电商专业知识的运营人才、选品人才、创作人才，培养一批能够为本地企业服务的中小直播电商主播，力争培养1-3名具有较大影响力的“头部主播”。</w:t>
            </w:r>
          </w:p>
          <w:p w14:paraId="2B1A16BC">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w:t>
            </w:r>
            <w:r>
              <w:rPr>
                <w:rFonts w:hint="eastAsia" w:ascii="宋体" w:hAnsi="宋体" w:eastAsia="宋体" w:cs="仿宋"/>
                <w:b/>
                <w:kern w:val="0"/>
                <w:sz w:val="24"/>
                <w:lang w:bidi="zh-CN"/>
              </w:rPr>
              <w:t>直播电商创新应用。</w:t>
            </w:r>
            <w:r>
              <w:rPr>
                <w:rFonts w:ascii="宋体" w:hAnsi="宋体" w:eastAsia="宋体" w:cs="仿宋"/>
                <w:kern w:val="0"/>
                <w:sz w:val="24"/>
                <w:lang w:bidi="zh-CN"/>
              </w:rPr>
              <w:t>鼓励本地电商企业自建直播间开启商家店播模式，依托京东、淘宝、拼多多</w:t>
            </w:r>
            <w:r>
              <w:rPr>
                <w:rFonts w:hint="eastAsia" w:ascii="宋体" w:hAnsi="宋体" w:eastAsia="宋体" w:cs="仿宋"/>
                <w:kern w:val="0"/>
                <w:sz w:val="24"/>
                <w:lang w:bidi="zh-CN"/>
              </w:rPr>
              <w:t>、抖音、快手、小红书</w:t>
            </w:r>
            <w:r>
              <w:rPr>
                <w:rFonts w:ascii="宋体" w:hAnsi="宋体" w:eastAsia="宋体" w:cs="仿宋"/>
                <w:kern w:val="0"/>
                <w:sz w:val="24"/>
                <w:lang w:bidi="zh-CN"/>
              </w:rPr>
              <w:t>等电商与直播平台自建直播间，</w:t>
            </w:r>
            <w:r>
              <w:rPr>
                <w:rFonts w:hint="eastAsia" w:ascii="宋体" w:hAnsi="宋体" w:eastAsia="宋体" w:cs="仿宋"/>
                <w:kern w:val="0"/>
                <w:sz w:val="24"/>
                <w:lang w:bidi="zh-CN"/>
              </w:rPr>
              <w:t>拓展仓播、场播田播等多种直播形式，</w:t>
            </w:r>
            <w:r>
              <w:rPr>
                <w:rFonts w:ascii="宋体" w:hAnsi="宋体" w:eastAsia="宋体" w:cs="仿宋"/>
                <w:kern w:val="0"/>
                <w:sz w:val="24"/>
                <w:lang w:bidi="zh-CN"/>
              </w:rPr>
              <w:t>做到产品供应链自我把控，提升自我利润空间</w:t>
            </w:r>
            <w:r>
              <w:rPr>
                <w:rFonts w:hint="eastAsia" w:ascii="宋体" w:hAnsi="宋体" w:eastAsia="宋体" w:cs="仿宋"/>
                <w:kern w:val="0"/>
                <w:sz w:val="24"/>
                <w:lang w:bidi="zh-CN"/>
              </w:rPr>
              <w:t>。</w:t>
            </w:r>
            <w:r>
              <w:rPr>
                <w:rFonts w:ascii="宋体" w:hAnsi="宋体" w:eastAsia="宋体" w:cs="仿宋"/>
                <w:kern w:val="0"/>
                <w:sz w:val="24"/>
                <w:lang w:bidi="zh-CN"/>
              </w:rPr>
              <w:t>鼓励本地传统商贸服务业进行“线上直播+线下商圈”“直播+小店”等O2O数字化建设</w:t>
            </w:r>
            <w:r>
              <w:rPr>
                <w:rFonts w:hint="eastAsia" w:ascii="宋体" w:hAnsi="宋体" w:eastAsia="宋体" w:cs="仿宋"/>
                <w:kern w:val="0"/>
                <w:sz w:val="24"/>
                <w:lang w:bidi="zh-CN"/>
              </w:rPr>
              <w:t>。</w:t>
            </w:r>
            <w:r>
              <w:rPr>
                <w:rFonts w:ascii="宋体" w:hAnsi="宋体" w:eastAsia="宋体" w:cs="仿宋"/>
                <w:kern w:val="0"/>
                <w:sz w:val="24"/>
                <w:lang w:bidi="zh-CN"/>
              </w:rPr>
              <w:t>建立面向本地农村地区的“村播课堂”，帮助农产品生产经营者开展农产品电商直播活动，依托生产基地建设“产地+直播+电商”的销售渠道，让农产品更直接的走向市场，联合</w:t>
            </w:r>
            <w:r>
              <w:rPr>
                <w:rFonts w:hint="eastAsia" w:ascii="宋体" w:hAnsi="宋体" w:eastAsia="宋体" w:cs="仿宋"/>
                <w:kern w:val="0"/>
                <w:sz w:val="24"/>
                <w:lang w:bidi="zh-CN"/>
              </w:rPr>
              <w:t>十堰</w:t>
            </w:r>
            <w:r>
              <w:rPr>
                <w:rFonts w:ascii="宋体" w:hAnsi="宋体" w:eastAsia="宋体" w:cs="仿宋"/>
                <w:kern w:val="0"/>
                <w:sz w:val="24"/>
                <w:lang w:bidi="zh-CN"/>
              </w:rPr>
              <w:t>地区外籍留学生与外国语专业学生，展开海外电商直播达人培育，加速</w:t>
            </w:r>
            <w:r>
              <w:rPr>
                <w:rFonts w:hint="eastAsia" w:ascii="宋体" w:hAnsi="宋体" w:eastAsia="宋体" w:cs="仿宋"/>
                <w:kern w:val="0"/>
                <w:sz w:val="24"/>
                <w:lang w:bidi="zh-CN"/>
              </w:rPr>
              <w:t>郧阳</w:t>
            </w:r>
            <w:r>
              <w:rPr>
                <w:rFonts w:ascii="宋体" w:hAnsi="宋体" w:eastAsia="宋体" w:cs="仿宋"/>
                <w:kern w:val="0"/>
                <w:sz w:val="24"/>
                <w:lang w:bidi="zh-CN"/>
              </w:rPr>
              <w:t>品牌出海。</w:t>
            </w:r>
            <w:r>
              <w:rPr>
                <w:rFonts w:hint="eastAsia" w:ascii="宋体" w:hAnsi="宋体" w:eastAsia="宋体" w:cs="仿宋"/>
                <w:kern w:val="0"/>
                <w:sz w:val="24"/>
                <w:lang w:bidi="zh-CN"/>
              </w:rPr>
              <w:t>引入和推广</w:t>
            </w:r>
            <w:r>
              <w:rPr>
                <w:rFonts w:ascii="宋体" w:hAnsi="宋体" w:eastAsia="宋体" w:cs="仿宋"/>
                <w:kern w:val="0"/>
                <w:sz w:val="24"/>
                <w:lang w:bidi="zh-CN"/>
              </w:rPr>
              <w:t>矩阵式运营能力+提供72小时开播+全链路服务的</w:t>
            </w:r>
            <w:r>
              <w:rPr>
                <w:rFonts w:hint="eastAsia" w:ascii="宋体" w:hAnsi="宋体" w:eastAsia="宋体" w:cs="仿宋"/>
                <w:kern w:val="0"/>
                <w:sz w:val="24"/>
                <w:lang w:bidi="zh-CN"/>
              </w:rPr>
              <w:t>虚拟数字人直播，</w:t>
            </w:r>
            <w:r>
              <w:rPr>
                <w:rFonts w:ascii="宋体" w:hAnsi="宋体" w:eastAsia="宋体" w:cs="仿宋"/>
                <w:kern w:val="0"/>
                <w:sz w:val="24"/>
                <w:lang w:bidi="zh-CN"/>
              </w:rPr>
              <w:t>将AI大模型技术</w:t>
            </w:r>
            <w:r>
              <w:rPr>
                <w:rFonts w:hint="eastAsia" w:ascii="宋体" w:hAnsi="宋体" w:eastAsia="宋体" w:cs="仿宋"/>
                <w:kern w:val="0"/>
                <w:sz w:val="24"/>
                <w:lang w:bidi="zh-CN"/>
              </w:rPr>
              <w:t>应用于</w:t>
            </w:r>
            <w:r>
              <w:rPr>
                <w:rFonts w:ascii="宋体" w:hAnsi="宋体" w:eastAsia="宋体" w:cs="仿宋"/>
                <w:kern w:val="0"/>
                <w:sz w:val="24"/>
                <w:lang w:bidi="zh-CN"/>
              </w:rPr>
              <w:t>直播，实现更多的规模效应</w:t>
            </w:r>
            <w:r>
              <w:rPr>
                <w:rFonts w:hint="eastAsia" w:ascii="宋体" w:hAnsi="宋体" w:eastAsia="宋体" w:cs="仿宋"/>
                <w:kern w:val="0"/>
                <w:sz w:val="24"/>
                <w:lang w:bidi="zh-CN"/>
              </w:rPr>
              <w:t>。推动直播电商在文化旅游、住宿餐饮、教育办公等领域的应用，运用</w:t>
            </w:r>
            <w:r>
              <w:rPr>
                <w:rFonts w:ascii="宋体" w:hAnsi="宋体" w:eastAsia="宋体" w:cs="仿宋"/>
                <w:kern w:val="0"/>
                <w:sz w:val="24"/>
                <w:lang w:bidi="zh-CN"/>
              </w:rPr>
              <w:t>5G</w:t>
            </w:r>
            <w:r>
              <w:rPr>
                <w:rFonts w:hint="eastAsia" w:ascii="宋体" w:hAnsi="宋体" w:eastAsia="宋体" w:cs="仿宋"/>
                <w:kern w:val="0"/>
                <w:sz w:val="24"/>
                <w:lang w:bidi="zh-CN"/>
              </w:rPr>
              <w:t>技术，促进直播与</w:t>
            </w:r>
            <w:r>
              <w:rPr>
                <w:rFonts w:ascii="宋体" w:hAnsi="宋体" w:eastAsia="宋体" w:cs="仿宋"/>
                <w:kern w:val="0"/>
                <w:sz w:val="24"/>
                <w:lang w:bidi="zh-CN"/>
              </w:rPr>
              <w:t>VR</w:t>
            </w:r>
            <w:r>
              <w:rPr>
                <w:rFonts w:hint="eastAsia" w:ascii="宋体" w:hAnsi="宋体" w:eastAsia="宋体" w:cs="仿宋"/>
                <w:kern w:val="0"/>
                <w:sz w:val="24"/>
                <w:lang w:bidi="zh-CN"/>
              </w:rPr>
              <w:t>、</w:t>
            </w:r>
            <w:r>
              <w:rPr>
                <w:rFonts w:ascii="宋体" w:hAnsi="宋体" w:eastAsia="宋体" w:cs="仿宋"/>
                <w:kern w:val="0"/>
                <w:sz w:val="24"/>
                <w:lang w:bidi="zh-CN"/>
              </w:rPr>
              <w:t>AR</w:t>
            </w:r>
            <w:r>
              <w:rPr>
                <w:rFonts w:hint="eastAsia" w:ascii="宋体" w:hAnsi="宋体" w:eastAsia="宋体" w:cs="仿宋"/>
                <w:kern w:val="0"/>
                <w:sz w:val="24"/>
                <w:lang w:bidi="zh-CN"/>
              </w:rPr>
              <w:t>技术融合，提升消费体验。</w:t>
            </w:r>
          </w:p>
        </w:tc>
      </w:tr>
    </w:tbl>
    <w:p w14:paraId="5223D755">
      <w:pPr>
        <w:pStyle w:val="3"/>
        <w:rPr>
          <w:rFonts w:asciiTheme="minorEastAsia" w:hAnsiTheme="minorEastAsia" w:eastAsiaTheme="minorEastAsia"/>
          <w:sz w:val="28"/>
          <w:szCs w:val="28"/>
        </w:rPr>
      </w:pPr>
      <w:bookmarkStart w:id="81" w:name="_Toc1995"/>
      <w:bookmarkStart w:id="82" w:name="_Toc181666877"/>
      <w:bookmarkStart w:id="83" w:name="_Toc183083291"/>
      <w:r>
        <w:rPr>
          <w:rFonts w:hint="eastAsia" w:asciiTheme="minorEastAsia" w:hAnsiTheme="minorEastAsia" w:eastAsiaTheme="minorEastAsia"/>
          <w:sz w:val="28"/>
          <w:szCs w:val="28"/>
        </w:rPr>
        <w:t>五、电商产业带发展工程</w:t>
      </w:r>
      <w:bookmarkEnd w:id="81"/>
      <w:bookmarkEnd w:id="82"/>
      <w:bookmarkEnd w:id="83"/>
    </w:p>
    <w:p w14:paraId="1BF9A81C">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该工程有助于畅通、引导资源要素在县域和乡村之间双向流通，实现要素流动便利化、资源配置均衡化，同时能够促进当地经济的发展，带动农民就近就业增收，实现乡村全面振兴。主要包括袜业电子商务产业带建设、香菇电子商务产业带建设、油橄榄电子商务产业带建设、“三链协同”产业融合四个方面。</w:t>
      </w:r>
    </w:p>
    <w:p w14:paraId="52229D5A">
      <w:pPr>
        <w:spacing w:line="360" w:lineRule="auto"/>
        <w:ind w:firstLine="480" w:firstLineChars="200"/>
        <w:rPr>
          <w:rFonts w:ascii="宋体" w:hAnsi="宋体" w:eastAsia="宋体" w:cs="仿宋"/>
          <w:kern w:val="0"/>
          <w:sz w:val="24"/>
          <w:lang w:bidi="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7238"/>
      </w:tblGrid>
      <w:tr w14:paraId="7FBF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tcBorders>
              <w:top w:val="single" w:color="auto" w:sz="4" w:space="0"/>
              <w:left w:val="single" w:color="auto" w:sz="4" w:space="0"/>
              <w:bottom w:val="single" w:color="auto" w:sz="4" w:space="0"/>
              <w:right w:val="single" w:color="auto" w:sz="4" w:space="0"/>
              <w:tl2br w:val="nil"/>
              <w:tr2bl w:val="nil"/>
            </w:tcBorders>
          </w:tcPr>
          <w:p w14:paraId="2C152A21">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专栏八</w:t>
            </w:r>
          </w:p>
        </w:tc>
        <w:tc>
          <w:tcPr>
            <w:tcW w:w="7238" w:type="dxa"/>
            <w:tcBorders>
              <w:top w:val="single" w:color="auto" w:sz="4" w:space="0"/>
              <w:left w:val="single" w:color="auto" w:sz="4" w:space="0"/>
              <w:bottom w:val="single" w:color="auto" w:sz="4" w:space="0"/>
              <w:right w:val="single" w:color="auto" w:sz="4" w:space="0"/>
              <w:tl2br w:val="nil"/>
              <w:tr2bl w:val="nil"/>
            </w:tcBorders>
          </w:tcPr>
          <w:p w14:paraId="5543396D">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bidi="zh-CN"/>
              </w:rPr>
              <w:t>电子商务产业带发展工程</w:t>
            </w:r>
          </w:p>
        </w:tc>
      </w:tr>
      <w:tr w14:paraId="5E08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l2br w:val="nil"/>
              <w:tr2bl w:val="nil"/>
            </w:tcBorders>
          </w:tcPr>
          <w:p w14:paraId="0680E607">
            <w:pPr>
              <w:spacing w:line="360" w:lineRule="auto"/>
              <w:rPr>
                <w:rFonts w:ascii="宋体" w:hAnsi="宋体" w:eastAsia="宋体" w:cs="仿宋"/>
                <w:kern w:val="0"/>
                <w:sz w:val="24"/>
                <w:lang w:bidi="zh-CN"/>
              </w:rPr>
            </w:pPr>
            <w:r>
              <w:rPr>
                <w:rFonts w:hint="eastAsia" w:ascii="宋体" w:hAnsi="宋体" w:eastAsia="宋体" w:cs="仿宋"/>
                <w:kern w:val="0"/>
                <w:sz w:val="24"/>
                <w:lang w:bidi="zh-CN"/>
              </w:rPr>
              <w:t>*</w:t>
            </w:r>
            <w:r>
              <w:rPr>
                <w:rFonts w:hint="eastAsia" w:ascii="宋体" w:hAnsi="宋体" w:eastAsia="宋体" w:cs="仿宋"/>
                <w:b/>
                <w:bCs/>
                <w:kern w:val="0"/>
                <w:sz w:val="24"/>
                <w:lang w:bidi="zh-CN"/>
              </w:rPr>
              <w:t>袜业电子商务产业带建设。</w:t>
            </w:r>
            <w:r>
              <w:rPr>
                <w:rFonts w:hint="eastAsia" w:ascii="宋体" w:hAnsi="宋体" w:eastAsia="宋体" w:cs="仿宋"/>
                <w:kern w:val="0"/>
                <w:sz w:val="24"/>
                <w:lang w:bidi="zh-CN"/>
              </w:rPr>
              <w:t>探索“产业大脑+未来工厂”核心业务应用，全方位整合研发、设计、生产、销售、检验检测等数据资源，运用云计算、大数据、区块链等新技术，即时分析、引导、解决袜业产业数字化转型发展遇到问题。配套发展物流集散基地，围绕“郧阳袜业”整体品牌建立聚集型产品展示店和“郧阳袜业”线上交易平台，大力培育产业带服务商，探索区域品牌O2O电子商务模式。大力推进杨溪、柳陂和刘洞等汉江两岸乡镇袜业产业带的建设，形成集产品研发、生产、加工、展示等多种功能为一体的规模化袜业园区。加快打造南化塘袜艺小镇，在以石南路-郧白路中心村-红色旅游村为“线”带动沿线村组，以集镇安置点等作坊为样板，以迦娜袜业为核心点线面结合打造核心袜业片区的基础上，引进2家以上的上下游产业链配套企业。</w:t>
            </w:r>
          </w:p>
          <w:p w14:paraId="47A42D31">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*香菇电子商务产业带建设。</w:t>
            </w:r>
            <w:r>
              <w:rPr>
                <w:rFonts w:hint="eastAsia" w:ascii="宋体" w:hAnsi="宋体" w:eastAsia="宋体" w:cs="仿宋"/>
                <w:kern w:val="0"/>
                <w:sz w:val="24"/>
                <w:lang w:bidi="zh-CN"/>
              </w:rPr>
              <w:t>依托郧阳区食用菌循环经济产业园二期工程，不断完善食用菌产业链仓储运输、推广营销等环节的功能。以昌欣香菇产业发展有限公司担任“链主”企业，推动更多“专精特新”中小企业融链发展、强链支撑，促进产业链供应链上下游、大中小企业融通创新。建立电商平台运维与服务中心，对接互联网、物联网、产品直销等现代交易平台，建立具有集散、交易、定价、结算、物流等功能的食用菌销售中心。创新引进融入“人货场”的销售模式，培育本区兼具食用菌产业技术和短视频创作基础的“头雁”人才，打造食用菌产业个人ip，经常性开展菌类种植、采摘、加工科普直播，提升郧阳食用菌品牌的影响力，形成线上线下相结合的全渠道经营模式。</w:t>
            </w:r>
          </w:p>
          <w:p w14:paraId="7BCB1EC9">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*油橄榄电子商务产业带建设。</w:t>
            </w:r>
            <w:r>
              <w:rPr>
                <w:rFonts w:hint="eastAsia" w:ascii="宋体" w:hAnsi="宋体" w:eastAsia="宋体" w:cs="仿宋"/>
                <w:kern w:val="0"/>
                <w:sz w:val="24"/>
                <w:lang w:bidi="zh-CN"/>
              </w:rPr>
              <w:t>充分发挥杨溪铺镇“东方橄榄园”功能作用，两年内建成湖北省油橄榄良种苗生产示范基地，打造全国三产融合示范园，发挥鑫榄源公司的辐射作用，加快推进在柳陂镇、茶店镇和谭山镇的橄榄种植、精深加工提质增效项目。打造郧阳油橄榄IP，发布油橄榄采摘及加工食品，进行油橄榄美食制作和东方橄榄园文旅直播，大力推广“遇见武当”橄榄油品牌，带动周边村镇农业、文旅及餐饮企业的集聚发展。</w:t>
            </w:r>
          </w:p>
          <w:p w14:paraId="3C115924">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*“三链协同”产业融合。</w:t>
            </w:r>
            <w:r>
              <w:rPr>
                <w:rFonts w:hint="eastAsia" w:ascii="宋体" w:hAnsi="宋体" w:eastAsia="宋体" w:cs="仿宋"/>
                <w:kern w:val="0"/>
                <w:sz w:val="24"/>
                <w:lang w:bidi="zh-CN"/>
              </w:rPr>
              <w:t>大力推进“链长”“链主”“链创”三链融合产业高质量发展工作机制。建立由相应区领导“链长”牵头挂帅、“链主”企业参与、“链创”机构支撑的“三链”工作专班。“链长”需制定工作计划、年度工作清单，推动出台配套政策、组建专家委员会、搭建载体平台，瞄准产业链前三强重点企业，整合“链主”企业资源，组织编制产业链“技术结构图、应用领域图、产业布局图、发展路线图、招商目标图”等发展蓝图、建立“企业库、项目库、人才库”等产业发展储备库，充分掌握研究产业发展规划、资源优化配置的重要基础性资料，积极争取国家产业布局和财政政策的倾斜。筛选</w:t>
            </w:r>
            <w:r>
              <w:rPr>
                <w:rFonts w:ascii="宋体" w:hAnsi="宋体" w:eastAsia="宋体" w:cs="仿宋"/>
                <w:kern w:val="0"/>
                <w:sz w:val="24"/>
                <w:lang w:bidi="zh-CN"/>
              </w:rPr>
              <w:t>1</w:t>
            </w:r>
            <w:r>
              <w:rPr>
                <w:rFonts w:hint="eastAsia" w:ascii="宋体" w:hAnsi="宋体" w:eastAsia="宋体" w:cs="仿宋"/>
                <w:kern w:val="0"/>
                <w:sz w:val="24"/>
                <w:lang w:bidi="zh-CN"/>
              </w:rPr>
              <w:t>—</w:t>
            </w:r>
            <w:r>
              <w:rPr>
                <w:rFonts w:ascii="宋体" w:hAnsi="宋体" w:eastAsia="宋体" w:cs="仿宋"/>
                <w:kern w:val="0"/>
                <w:sz w:val="24"/>
                <w:lang w:bidi="zh-CN"/>
              </w:rPr>
              <w:t>3</w:t>
            </w:r>
            <w:r>
              <w:rPr>
                <w:rFonts w:hint="eastAsia" w:ascii="宋体" w:hAnsi="宋体" w:eastAsia="宋体" w:cs="仿宋"/>
                <w:kern w:val="0"/>
                <w:sz w:val="24"/>
                <w:lang w:bidi="zh-CN"/>
              </w:rPr>
              <w:t>家产业生态主导作用强的领航企业担任“链主”企业。“链主”企业需强化引领作用，带动产业链上中下游企业在空间上集聚、业务上协作、资源上共享，不断提高本地配套率，与中小企业互利共赢，共同维护产业链供应链稳定，发展时期防范风险、共享红利，困难时期及时预警、抱团取暖。“链创”组织以省内外重点实验室、产业创新联盟、高校院所、创新中心等研究机构为依托，鼓励企业与高校院所组建创新联合体，探索构建“产学研用”一体化机制，深度参与产业链攻关项目选定、人才选派、行业标准建立、科技成果认定等工作。</w:t>
            </w:r>
          </w:p>
        </w:tc>
      </w:tr>
    </w:tbl>
    <w:p w14:paraId="6F40A400">
      <w:pPr>
        <w:pStyle w:val="3"/>
        <w:rPr>
          <w:rFonts w:asciiTheme="minorEastAsia" w:hAnsiTheme="minorEastAsia" w:eastAsiaTheme="minorEastAsia"/>
          <w:sz w:val="28"/>
          <w:szCs w:val="28"/>
        </w:rPr>
      </w:pPr>
      <w:bookmarkStart w:id="84" w:name="_Toc183083292"/>
      <w:bookmarkStart w:id="85" w:name="_Toc23570"/>
      <w:bookmarkStart w:id="86" w:name="_Toc181666878"/>
      <w:r>
        <w:rPr>
          <w:rFonts w:hint="eastAsia" w:asciiTheme="minorEastAsia" w:hAnsiTheme="minorEastAsia" w:eastAsiaTheme="minorEastAsia"/>
          <w:sz w:val="28"/>
          <w:szCs w:val="28"/>
        </w:rPr>
        <w:t>六、跨境电商强化发展工程</w:t>
      </w:r>
      <w:bookmarkEnd w:id="84"/>
      <w:bookmarkEnd w:id="85"/>
      <w:bookmarkEnd w:id="86"/>
    </w:p>
    <w:p w14:paraId="5E2946C4">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该工程是全球经贸发展的重要引擎，</w:t>
      </w:r>
      <w:r>
        <w:rPr>
          <w:rFonts w:ascii="宋体" w:hAnsi="宋体" w:eastAsia="宋体" w:cs="仿宋"/>
          <w:kern w:val="0"/>
          <w:sz w:val="24"/>
          <w:lang w:bidi="zh-CN"/>
        </w:rPr>
        <w:t>对本区域的商品</w:t>
      </w:r>
      <w:r>
        <w:rPr>
          <w:rFonts w:hint="eastAsia" w:ascii="宋体" w:hAnsi="宋体" w:eastAsia="宋体" w:cs="仿宋"/>
          <w:kern w:val="0"/>
          <w:sz w:val="24"/>
          <w:lang w:bidi="zh-CN"/>
        </w:rPr>
        <w:t>和品牌“</w:t>
      </w:r>
      <w:r>
        <w:rPr>
          <w:rFonts w:ascii="宋体" w:hAnsi="宋体" w:eastAsia="宋体" w:cs="仿宋"/>
          <w:kern w:val="0"/>
          <w:sz w:val="24"/>
          <w:lang w:bidi="zh-CN"/>
        </w:rPr>
        <w:t>出海</w:t>
      </w:r>
      <w:r>
        <w:rPr>
          <w:rFonts w:hint="eastAsia" w:ascii="宋体" w:hAnsi="宋体" w:eastAsia="宋体" w:cs="仿宋"/>
          <w:kern w:val="0"/>
          <w:sz w:val="24"/>
          <w:lang w:bidi="zh-CN"/>
        </w:rPr>
        <w:t>”</w:t>
      </w:r>
      <w:r>
        <w:rPr>
          <w:rFonts w:ascii="宋体" w:hAnsi="宋体" w:eastAsia="宋体" w:cs="仿宋"/>
          <w:kern w:val="0"/>
          <w:sz w:val="24"/>
          <w:lang w:bidi="zh-CN"/>
        </w:rPr>
        <w:t>提供了新的机遇</w:t>
      </w:r>
      <w:r>
        <w:rPr>
          <w:rFonts w:hint="eastAsia" w:ascii="宋体" w:hAnsi="宋体" w:eastAsia="宋体" w:cs="仿宋"/>
          <w:kern w:val="0"/>
          <w:sz w:val="24"/>
          <w:lang w:bidi="zh-CN"/>
        </w:rPr>
        <w:t>。包括跨境电商物流通道打通工程、跨境电商综合服务培育工程、跨境电商业务模式应用工程、跨境电商重点产业发展工程四个方面。</w:t>
      </w:r>
    </w:p>
    <w:p w14:paraId="61367C23">
      <w:pPr>
        <w:spacing w:line="360" w:lineRule="auto"/>
        <w:ind w:firstLine="480" w:firstLineChars="200"/>
        <w:rPr>
          <w:rFonts w:ascii="宋体" w:hAnsi="宋体" w:eastAsia="宋体" w:cs="仿宋"/>
          <w:kern w:val="0"/>
          <w:sz w:val="24"/>
          <w:lang w:bidi="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7238"/>
      </w:tblGrid>
      <w:tr w14:paraId="7794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tcBorders>
              <w:top w:val="single" w:color="auto" w:sz="4" w:space="0"/>
              <w:left w:val="single" w:color="auto" w:sz="4" w:space="0"/>
              <w:bottom w:val="single" w:color="auto" w:sz="4" w:space="0"/>
              <w:right w:val="single" w:color="auto" w:sz="4" w:space="0"/>
              <w:tl2br w:val="nil"/>
              <w:tr2bl w:val="nil"/>
            </w:tcBorders>
          </w:tcPr>
          <w:p w14:paraId="4D1BD35E">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val="zh-CN" w:bidi="zh-CN"/>
              </w:rPr>
              <w:t>专栏九</w:t>
            </w:r>
          </w:p>
        </w:tc>
        <w:tc>
          <w:tcPr>
            <w:tcW w:w="7238" w:type="dxa"/>
            <w:tcBorders>
              <w:top w:val="single" w:color="auto" w:sz="4" w:space="0"/>
              <w:left w:val="single" w:color="auto" w:sz="4" w:space="0"/>
              <w:bottom w:val="single" w:color="auto" w:sz="4" w:space="0"/>
              <w:right w:val="single" w:color="auto" w:sz="4" w:space="0"/>
              <w:tl2br w:val="nil"/>
              <w:tr2bl w:val="nil"/>
            </w:tcBorders>
          </w:tcPr>
          <w:p w14:paraId="1E6E9390">
            <w:pPr>
              <w:autoSpaceDE w:val="0"/>
              <w:autoSpaceDN w:val="0"/>
              <w:spacing w:before="153" w:line="360" w:lineRule="auto"/>
              <w:jc w:val="center"/>
              <w:rPr>
                <w:rFonts w:ascii="宋体" w:hAnsi="宋体" w:eastAsia="宋体" w:cs="仿宋"/>
                <w:b/>
                <w:kern w:val="0"/>
                <w:sz w:val="24"/>
                <w:lang w:bidi="zh-CN"/>
              </w:rPr>
            </w:pPr>
            <w:r>
              <w:rPr>
                <w:rFonts w:hint="eastAsia" w:ascii="宋体" w:hAnsi="宋体" w:eastAsia="宋体" w:cs="仿宋"/>
                <w:b/>
                <w:kern w:val="0"/>
                <w:sz w:val="24"/>
                <w:lang w:bidi="zh-CN"/>
              </w:rPr>
              <w:t>跨境电子商务强化发展工程</w:t>
            </w:r>
          </w:p>
        </w:tc>
      </w:tr>
      <w:tr w14:paraId="6BBF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l2br w:val="nil"/>
              <w:tr2bl w:val="nil"/>
            </w:tcBorders>
          </w:tcPr>
          <w:p w14:paraId="7A2112B4">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*打通跨境电商物流通道。</w:t>
            </w:r>
            <w:r>
              <w:rPr>
                <w:rFonts w:hint="eastAsia" w:ascii="宋体" w:hAnsi="宋体" w:eastAsia="宋体" w:cs="仿宋"/>
                <w:kern w:val="0"/>
                <w:sz w:val="24"/>
                <w:lang w:bidi="zh-CN"/>
              </w:rPr>
              <w:t>大力拓展郧阳产品出海渠道，挖掘</w:t>
            </w:r>
            <w:r>
              <w:rPr>
                <w:rFonts w:hint="eastAsia" w:ascii="宋体" w:hAnsi="宋体" w:eastAsia="宋体" w:cs="仿宋"/>
                <w:kern w:val="0"/>
                <w:sz w:val="24"/>
                <w:lang w:bidi="ar"/>
              </w:rPr>
              <w:t>湖北自贸区十堰联动创新发展区</w:t>
            </w:r>
            <w:r>
              <w:rPr>
                <w:rFonts w:hint="eastAsia" w:ascii="宋体" w:hAnsi="宋体" w:eastAsia="宋体" w:cs="仿宋"/>
                <w:kern w:val="0"/>
                <w:sz w:val="24"/>
                <w:lang w:bidi="zh-CN"/>
              </w:rPr>
              <w:t>平台资源，加强十堰联创区与湖北自贸区襄阳片区等区域产业协作，依托襄阳刘集机场，重点对接鄂州花湖机场国际一流航空货运枢纽、武汉阳逻港，打通襄十随神”外向物流大通道，积极推进多式联运。</w:t>
            </w:r>
          </w:p>
          <w:p w14:paraId="328933A7">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*完善跨境电商综合服务。</w:t>
            </w:r>
            <w:r>
              <w:rPr>
                <w:rFonts w:hint="eastAsia" w:ascii="宋体" w:hAnsi="宋体" w:eastAsia="宋体" w:cs="仿宋"/>
                <w:kern w:val="0"/>
                <w:sz w:val="24"/>
                <w:lang w:bidi="zh-CN"/>
              </w:rPr>
              <w:t>①大力引进对外贸易服务商，包括物流服务商（提供国际运输、清关报关、物流跟踪、仓储配送等服务）、合规和税务服务商（提供专业的税务规划、VAT注册、合规性检查、税务申报等服务）、数据分析和市场研究服务商（提供专业的市场洞察，帮助企业制定更有效的市场策略）、客户服务和支持服务商（提供专业的客户服务解决方案，处理海外消费者的咨询和投诉）、第三方平台服务商（提供专业的平台运营服务，帮助卖家在第三方平台上开店和运营）和培训和教育服务商等（提供专业的跨境电商培训服务，包括跨境电商课程、实操培训、咨询服务等)。②依托襄阳综保区的“四区（高新区、自贸片区、综保区、跨境电商综试区）叠加”优势，合理利用其提供信息共享、金融服务、智能物流、电商信用、风险防控和统计监测等一系列服务业务，搭载“骧飞全球购”、速卖通、亚马逊等平台载体和物流仓储中心，为跨境商品的进出口业务提供高效便利的电商生态。③借力十堰跨境电商产业园、</w:t>
            </w:r>
            <w:r>
              <w:rPr>
                <w:rFonts w:ascii="宋体" w:hAnsi="宋体" w:eastAsia="宋体" w:cs="仿宋"/>
                <w:kern w:val="0"/>
                <w:sz w:val="24"/>
                <w:lang w:bidi="zh-CN"/>
              </w:rPr>
              <w:t>中国（十堰）商用车跨境电商服务中心</w:t>
            </w:r>
            <w:r>
              <w:rPr>
                <w:rFonts w:hint="eastAsia" w:ascii="宋体" w:hAnsi="宋体" w:eastAsia="宋体" w:cs="仿宋"/>
                <w:kern w:val="0"/>
                <w:sz w:val="24"/>
                <w:lang w:bidi="zh-CN"/>
              </w:rPr>
              <w:t>，依托其智能仓储、物流配送、大数据服务中心、创新孵化等功能，推进郧阳本土品牌建设及中小外贸企业跨境出海。④依托十堰二手车出口前置仓（霍尔果斯）为郧阳汽车产业提供车辆展销、接车验车、整备、车辆报关和物流等配套服务。</w:t>
            </w:r>
          </w:p>
          <w:p w14:paraId="22B24C23">
            <w:pPr>
              <w:spacing w:line="360" w:lineRule="auto"/>
              <w:rPr>
                <w:rFonts w:ascii="宋体" w:hAnsi="宋体" w:eastAsia="宋体" w:cs="仿宋"/>
                <w:kern w:val="0"/>
                <w:sz w:val="24"/>
                <w:lang w:bidi="zh-CN"/>
              </w:rPr>
            </w:pPr>
            <w:r>
              <w:rPr>
                <w:rFonts w:hint="eastAsia" w:ascii="宋体" w:hAnsi="宋体" w:eastAsia="宋体" w:cs="仿宋"/>
                <w:b/>
                <w:bCs/>
                <w:kern w:val="0"/>
                <w:sz w:val="24"/>
                <w:lang w:bidi="zh-CN"/>
              </w:rPr>
              <w:t>*跨境电商业务模式应用。</w:t>
            </w:r>
            <w:r>
              <w:rPr>
                <w:rFonts w:hint="eastAsia" w:ascii="宋体" w:hAnsi="宋体" w:eastAsia="宋体" w:cs="仿宋"/>
                <w:kern w:val="0"/>
                <w:sz w:val="24"/>
                <w:lang w:bidi="zh-CN"/>
              </w:rPr>
              <w:t>①完善9610、9710业务模式。重点聚焦袜子和香菇产业，依托速卖通（ALIEXPRESS）、temu、亚马逊、骧飞全球购等跨境电商通关服务平台，依托鄂州花湖机场、襄阳自贸区将跨境电商、国际快件监管场所资源相结合“两场合一”海关监管新模式，为国际快件和跨境电商货物提供集中查验、转关监管、检疫处理等一站式通关服务，提升通关时效，降低通关成本，直接出口送达境外企业或的消费者。②拓展9810、1210业务模式。借鉴迦娜针织有限公司的巴西自用海外仓建设经验，引导本区核心产业的袜子、香菇、油橄榄企业与海外企业联合在“一带一路”沿线国家培育建设海外商城和新型海外仓，为外贸企业提供客户对接、产品展示和仓储等服务，确保外贸企业稳定运行。依托襄阳、南阳及周边城市的综合保税区，支持郧阳跨境电商企业将大量商品以整批形式进口至保税仓，再根据订单情况分包出口，提高物流效率和灵活性。</w:t>
            </w:r>
          </w:p>
          <w:p w14:paraId="15296443">
            <w:pPr>
              <w:widowControl/>
              <w:spacing w:line="360" w:lineRule="auto"/>
              <w:jc w:val="left"/>
              <w:rPr>
                <w:rFonts w:ascii="宋体" w:hAnsi="宋体" w:eastAsia="宋体" w:cs="仿宋"/>
                <w:kern w:val="0"/>
                <w:sz w:val="24"/>
                <w:lang w:bidi="zh-CN"/>
              </w:rPr>
            </w:pPr>
            <w:r>
              <w:rPr>
                <w:rFonts w:hint="eastAsia" w:ascii="宋体" w:hAnsi="宋体" w:eastAsia="宋体" w:cs="仿宋"/>
                <w:b/>
                <w:bCs/>
                <w:kern w:val="0"/>
                <w:sz w:val="24"/>
                <w:lang w:bidi="zh-CN"/>
              </w:rPr>
              <w:t>*发展跨境电商重点产业。</w:t>
            </w:r>
            <w:r>
              <w:rPr>
                <w:rFonts w:hint="eastAsia" w:ascii="宋体" w:hAnsi="宋体" w:eastAsia="宋体" w:cs="仿宋"/>
                <w:kern w:val="0"/>
                <w:sz w:val="24"/>
                <w:lang w:bidi="zh-CN"/>
              </w:rPr>
              <w:t>立足郧阳新能源及智能网联汽车</w:t>
            </w:r>
            <w:r>
              <w:rPr>
                <w:rFonts w:ascii="宋体" w:hAnsi="宋体" w:eastAsia="宋体" w:cs="仿宋"/>
                <w:kern w:val="0"/>
                <w:sz w:val="24"/>
                <w:lang w:bidi="ar"/>
              </w:rPr>
              <w:t>龙头</w:t>
            </w:r>
            <w:r>
              <w:rPr>
                <w:rFonts w:hint="eastAsia" w:ascii="宋体" w:hAnsi="宋体" w:eastAsia="宋体" w:cs="仿宋"/>
                <w:kern w:val="0"/>
                <w:sz w:val="24"/>
                <w:lang w:bidi="ar"/>
              </w:rPr>
              <w:t>企业，助力</w:t>
            </w:r>
            <w:r>
              <w:rPr>
                <w:rFonts w:hint="eastAsia" w:ascii="宋体" w:hAnsi="宋体" w:eastAsia="宋体" w:cs="仿宋"/>
                <w:kern w:val="0"/>
                <w:sz w:val="24"/>
                <w:lang w:bidi="zh-CN"/>
              </w:rPr>
              <w:t>“汉孝随襄十”万亿级汽车产业集群，积极打造“一带一路”新能源汽车交易市场、中国汽配城交易市场和汽车后市场。加强香菇产业的精深加工水平，开发灵芝茶、灵芝饼干、香菇植物肉、香菇罐头等便于储存和运输的香菇产品。大力推进袜子跨境品牌建设，引导本土传统外贸企业、电商企业开发自主品牌，通过“基地+工厂+平台”跨境电商模式，开展境外批发、零售业务。</w:t>
            </w:r>
          </w:p>
        </w:tc>
      </w:tr>
    </w:tbl>
    <w:p w14:paraId="6D2DFC90">
      <w:pPr>
        <w:spacing w:line="360" w:lineRule="auto"/>
        <w:ind w:firstLine="480" w:firstLineChars="200"/>
        <w:rPr>
          <w:rFonts w:ascii="宋体" w:hAnsi="宋体" w:eastAsia="宋体" w:cs="仿宋"/>
          <w:kern w:val="0"/>
          <w:sz w:val="24"/>
          <w:lang w:bidi="ar"/>
        </w:rPr>
      </w:pPr>
    </w:p>
    <w:p w14:paraId="4485EE05">
      <w:pPr>
        <w:rPr>
          <w:rFonts w:ascii="Calibri" w:hAnsi="Calibri" w:eastAsia="宋体" w:cs="Times New Roman"/>
        </w:rPr>
      </w:pPr>
      <w:r>
        <w:rPr>
          <w:rFonts w:ascii="Calibri" w:hAnsi="Calibri" w:eastAsia="宋体" w:cs="Times New Roman"/>
        </w:rPr>
        <w:br w:type="page"/>
      </w:r>
    </w:p>
    <w:p w14:paraId="70364D60">
      <w:pPr>
        <w:pStyle w:val="2"/>
        <w:jc w:val="center"/>
        <w:rPr>
          <w:rFonts w:hint="default" w:ascii="黑体" w:hAnsi="黑体" w:eastAsia="黑体"/>
          <w:sz w:val="36"/>
          <w:szCs w:val="36"/>
          <w:lang w:bidi="ar"/>
        </w:rPr>
      </w:pPr>
      <w:bookmarkStart w:id="87" w:name="_Toc181666879"/>
      <w:bookmarkStart w:id="88" w:name="_Toc183083293"/>
      <w:r>
        <w:rPr>
          <w:rFonts w:ascii="黑体" w:hAnsi="黑体" w:eastAsia="黑体"/>
          <w:sz w:val="36"/>
          <w:szCs w:val="36"/>
          <w:lang w:bidi="ar"/>
        </w:rPr>
        <w:t>第六章 保障措施</w:t>
      </w:r>
      <w:bookmarkEnd w:id="87"/>
      <w:bookmarkEnd w:id="88"/>
    </w:p>
    <w:p w14:paraId="63094D06">
      <w:pPr>
        <w:pStyle w:val="3"/>
        <w:rPr>
          <w:rFonts w:asciiTheme="minorEastAsia" w:hAnsiTheme="minorEastAsia" w:eastAsiaTheme="minorEastAsia"/>
          <w:sz w:val="28"/>
          <w:szCs w:val="28"/>
        </w:rPr>
      </w:pPr>
      <w:bookmarkStart w:id="89" w:name="_Toc183083294"/>
      <w:bookmarkStart w:id="90" w:name="_Toc181666880"/>
      <w:r>
        <w:rPr>
          <w:rFonts w:hint="eastAsia" w:asciiTheme="minorEastAsia" w:hAnsiTheme="minorEastAsia" w:eastAsiaTheme="minorEastAsia"/>
          <w:sz w:val="28"/>
          <w:szCs w:val="28"/>
        </w:rPr>
        <w:t>一、组织保障</w:t>
      </w:r>
      <w:bookmarkEnd w:id="89"/>
      <w:bookmarkEnd w:id="90"/>
    </w:p>
    <w:p w14:paraId="5583F9B2">
      <w:pPr>
        <w:spacing w:line="360" w:lineRule="auto"/>
        <w:ind w:firstLine="480" w:firstLineChars="200"/>
        <w:rPr>
          <w:rFonts w:ascii="宋体" w:hAnsi="宋体" w:eastAsia="宋体" w:cs="仿宋"/>
          <w:kern w:val="0"/>
          <w:sz w:val="24"/>
          <w:lang w:bidi="ar"/>
        </w:rPr>
      </w:pPr>
      <w:r>
        <w:rPr>
          <w:rFonts w:hint="eastAsia" w:ascii="宋体" w:hAnsi="宋体" w:eastAsia="宋体" w:cs="仿宋"/>
          <w:kern w:val="0"/>
          <w:sz w:val="24"/>
          <w:lang w:bidi="ar"/>
        </w:rPr>
        <w:t>发挥郧阳区电商产业协调指挥部统筹协调作用，建立协调配合机制，牵头负责电商工作的组织、协调、规划、实施等工作，进行定期工作会议和重大项目审理等方面的协调配合，形成合力。明确各部门的工作职责范围、工作绩效考核，坚决杜绝“踢皮球”“不作为”“乱作为”等现象的出现。坚持贯彻电商企业的主体地位，形成“政府推动+市场运作”的发展体系，激发行业协会的组织活力，充分发挥其在政策解读、标准制订、统计监测、人才培育等方面的作用，突出电商工作中的行业协会“发言权”，牵头制定电商行业的经营规范，使行业协会切实拥有“参事”职能。</w:t>
      </w:r>
    </w:p>
    <w:p w14:paraId="6BF5CEB5">
      <w:pPr>
        <w:pStyle w:val="3"/>
        <w:rPr>
          <w:rFonts w:asciiTheme="minorEastAsia" w:hAnsiTheme="minorEastAsia" w:eastAsiaTheme="minorEastAsia"/>
          <w:sz w:val="28"/>
          <w:szCs w:val="28"/>
        </w:rPr>
      </w:pPr>
      <w:bookmarkStart w:id="91" w:name="_Toc183083295"/>
      <w:bookmarkStart w:id="92" w:name="_Toc181666881"/>
      <w:r>
        <w:rPr>
          <w:rFonts w:hint="eastAsia" w:asciiTheme="minorEastAsia" w:hAnsiTheme="minorEastAsia" w:eastAsiaTheme="minorEastAsia"/>
          <w:sz w:val="28"/>
          <w:szCs w:val="28"/>
        </w:rPr>
        <w:t>二、政策保障</w:t>
      </w:r>
      <w:bookmarkEnd w:id="91"/>
      <w:bookmarkEnd w:id="92"/>
    </w:p>
    <w:p w14:paraId="3C209F47">
      <w:pPr>
        <w:pStyle w:val="23"/>
        <w:spacing w:line="360" w:lineRule="auto"/>
        <w:ind w:firstLine="480" w:firstLineChars="200"/>
        <w:jc w:val="both"/>
        <w:rPr>
          <w:rFonts w:ascii="宋体" w:hAnsi="宋体" w:eastAsia="宋体"/>
          <w:color w:val="auto"/>
          <w:sz w:val="24"/>
          <w:szCs w:val="24"/>
          <w:lang w:bidi="ar"/>
        </w:rPr>
      </w:pPr>
      <w:r>
        <w:rPr>
          <w:rFonts w:hint="eastAsia" w:ascii="宋体" w:hAnsi="宋体" w:eastAsia="宋体" w:cs="仿宋"/>
          <w:color w:val="auto"/>
          <w:sz w:val="24"/>
          <w:szCs w:val="24"/>
          <w:lang w:bidi="ar"/>
        </w:rPr>
        <w:t>梳理国家、湖北省、十堰市和郧阳区各项促进电子商务发展的政策，全面贯彻落实党的二十大精神，深入贯彻习近平新时代中国特色社会主义经济思想，积极制定与实施电子商务建设用地规划、融资渠道拓展、电商创业补贴、诚信建设等政策，提升保障政策的兑现率。重点加强对电子商务创新、平台、项目、应用等要素的政策支持，引导电子商务在国民经济各领域的应用，支持电子商务与一二三产业融合发展，拓展电子商务的应用场景。强化政府政策对电子商务基础理论、关键技术和重大政策研究的保障，营造良好的政策环境与发展氛围。</w:t>
      </w:r>
    </w:p>
    <w:p w14:paraId="4AD32142">
      <w:pPr>
        <w:pStyle w:val="3"/>
        <w:rPr>
          <w:rFonts w:asciiTheme="minorEastAsia" w:hAnsiTheme="minorEastAsia" w:eastAsiaTheme="minorEastAsia"/>
          <w:sz w:val="28"/>
          <w:szCs w:val="28"/>
        </w:rPr>
      </w:pPr>
      <w:bookmarkStart w:id="93" w:name="_Toc183083296"/>
      <w:bookmarkStart w:id="94" w:name="_Toc181666882"/>
      <w:r>
        <w:rPr>
          <w:rFonts w:hint="eastAsia" w:asciiTheme="minorEastAsia" w:hAnsiTheme="minorEastAsia" w:eastAsiaTheme="minorEastAsia"/>
          <w:sz w:val="28"/>
          <w:szCs w:val="28"/>
        </w:rPr>
        <w:t>三、资金保障</w:t>
      </w:r>
      <w:bookmarkEnd w:id="93"/>
      <w:bookmarkEnd w:id="94"/>
    </w:p>
    <w:p w14:paraId="7A639308">
      <w:pPr>
        <w:spacing w:line="360" w:lineRule="auto"/>
        <w:ind w:firstLine="480" w:firstLineChars="200"/>
        <w:rPr>
          <w:rFonts w:ascii="宋体" w:hAnsi="宋体" w:eastAsia="宋体"/>
          <w:sz w:val="24"/>
        </w:rPr>
      </w:pPr>
      <w:r>
        <w:rPr>
          <w:rFonts w:hint="eastAsia" w:ascii="宋体" w:hAnsi="宋体" w:eastAsia="宋体"/>
          <w:sz w:val="24"/>
        </w:rPr>
        <w:t>加大郧阳区产业发展扶持资金向电子商务领域倾斜力度，完善郧阳区电子商务金融监管制度，制定专项资金管理公开准则，保障电子商务专项资金专款专用、透明公开、高效充分地使用。推进电子商务资金预算管理，强化支出管理、优化支出方向，重点对电子商务创新创业、平台搭建、集群发展、人才培训、应用普及等环节提供资金支持，确保资金使用的规范性、有效性。引导银行与金融机构完善电子商务金融支撑体系，为企业提供预付、担保、质押等金融服务，降低贷款门槛，简化贷款程序，提供融资支持。鼓励大型企业与投资公司设立小微电商企业发展基金，培育电商初创公司。</w:t>
      </w:r>
    </w:p>
    <w:p w14:paraId="48F3C894">
      <w:pPr>
        <w:pStyle w:val="3"/>
        <w:rPr>
          <w:rFonts w:asciiTheme="minorEastAsia" w:hAnsiTheme="minorEastAsia" w:eastAsiaTheme="minorEastAsia"/>
          <w:sz w:val="28"/>
          <w:szCs w:val="28"/>
        </w:rPr>
      </w:pPr>
      <w:bookmarkStart w:id="95" w:name="_Toc181666883"/>
      <w:bookmarkStart w:id="96" w:name="_Toc183083297"/>
      <w:r>
        <w:rPr>
          <w:rFonts w:hint="eastAsia" w:asciiTheme="minorEastAsia" w:hAnsiTheme="minorEastAsia" w:eastAsiaTheme="minorEastAsia"/>
          <w:sz w:val="28"/>
          <w:szCs w:val="28"/>
        </w:rPr>
        <w:t>四、人才保障</w:t>
      </w:r>
      <w:bookmarkEnd w:id="95"/>
      <w:bookmarkEnd w:id="96"/>
    </w:p>
    <w:p w14:paraId="43FB258E">
      <w:pPr>
        <w:spacing w:line="360" w:lineRule="auto"/>
        <w:ind w:firstLine="480" w:firstLineChars="200"/>
        <w:rPr>
          <w:rFonts w:ascii="宋体" w:hAnsi="宋体" w:eastAsia="宋体" w:cs="仿宋"/>
          <w:kern w:val="0"/>
          <w:sz w:val="24"/>
          <w:lang w:bidi="zh-CN"/>
        </w:rPr>
      </w:pPr>
      <w:r>
        <w:rPr>
          <w:rFonts w:ascii="宋体" w:hAnsi="宋体" w:eastAsia="宋体" w:cs="仿宋"/>
          <w:kern w:val="0"/>
          <w:sz w:val="24"/>
          <w:lang w:bidi="zh-CN"/>
        </w:rPr>
        <w:t>以电商培训为工作主抓手，整合有关资源，加大电子商务培训力度，</w:t>
      </w:r>
      <w:r>
        <w:rPr>
          <w:rFonts w:hint="eastAsia" w:ascii="宋体" w:hAnsi="宋体" w:eastAsia="宋体" w:cs="仿宋"/>
          <w:kern w:val="0"/>
          <w:sz w:val="24"/>
          <w:lang w:bidi="zh-CN"/>
        </w:rPr>
        <w:t>建立本地应用性电商人才队伍。适当引进专业化电子商务人才，建立高层次领军人才队伍。深化校企合作，推动电子商务人才定制化培养，实施企业认领式人才培养，对留在本地电子商务从业人员，提供统一住房、生活补贴、优先就业等优惠政策。建立完善郧阳区电子商务专家咨询委员会，加强电子商务智库建设。</w:t>
      </w:r>
      <w:r>
        <w:rPr>
          <w:rFonts w:ascii="宋体" w:hAnsi="宋体" w:eastAsia="宋体" w:cs="仿宋"/>
          <w:kern w:val="0"/>
          <w:sz w:val="24"/>
          <w:lang w:bidi="zh-CN"/>
        </w:rPr>
        <w:t>结合</w:t>
      </w:r>
      <w:r>
        <w:rPr>
          <w:rFonts w:hint="eastAsia" w:ascii="宋体" w:hAnsi="宋体" w:eastAsia="宋体" w:cs="仿宋"/>
          <w:kern w:val="0"/>
          <w:sz w:val="24"/>
          <w:lang w:val="en-US" w:bidi="zh-CN"/>
        </w:rPr>
        <w:t>全区</w:t>
      </w:r>
      <w:r>
        <w:rPr>
          <w:rFonts w:ascii="宋体" w:hAnsi="宋体" w:eastAsia="宋体" w:cs="仿宋"/>
          <w:kern w:val="0"/>
          <w:sz w:val="24"/>
          <w:lang w:bidi="zh-CN"/>
        </w:rPr>
        <w:t>电子商务发展需要，设置各类电子商务研究课题</w:t>
      </w:r>
      <w:r>
        <w:rPr>
          <w:rFonts w:hint="eastAsia" w:ascii="宋体" w:hAnsi="宋体" w:eastAsia="宋体" w:cs="仿宋"/>
          <w:kern w:val="0"/>
          <w:sz w:val="24"/>
          <w:lang w:bidi="zh-CN"/>
        </w:rPr>
        <w:t>，</w:t>
      </w:r>
      <w:r>
        <w:rPr>
          <w:rFonts w:ascii="宋体" w:hAnsi="宋体" w:eastAsia="宋体" w:cs="仿宋"/>
          <w:kern w:val="0"/>
          <w:sz w:val="24"/>
          <w:lang w:bidi="zh-CN"/>
        </w:rPr>
        <w:t>邀请国内外专家学者参与开展调查研究</w:t>
      </w:r>
      <w:r>
        <w:rPr>
          <w:rFonts w:hint="eastAsia" w:ascii="宋体" w:hAnsi="宋体" w:eastAsia="宋体" w:cs="仿宋"/>
          <w:kern w:val="0"/>
          <w:sz w:val="24"/>
          <w:lang w:bidi="zh-CN"/>
        </w:rPr>
        <w:t>，</w:t>
      </w:r>
      <w:r>
        <w:rPr>
          <w:rFonts w:ascii="宋体" w:hAnsi="宋体" w:eastAsia="宋体" w:cs="仿宋"/>
          <w:kern w:val="0"/>
          <w:sz w:val="24"/>
          <w:lang w:bidi="zh-CN"/>
        </w:rPr>
        <w:t>分享电子商务前沿理论和专业知识。</w:t>
      </w:r>
    </w:p>
    <w:p w14:paraId="7AD6DF06">
      <w:pPr>
        <w:pStyle w:val="3"/>
        <w:rPr>
          <w:rFonts w:asciiTheme="minorEastAsia" w:hAnsiTheme="minorEastAsia" w:eastAsiaTheme="minorEastAsia"/>
          <w:sz w:val="28"/>
          <w:szCs w:val="28"/>
        </w:rPr>
      </w:pPr>
      <w:bookmarkStart w:id="97" w:name="_Toc181666884"/>
      <w:bookmarkStart w:id="98" w:name="_Toc183083298"/>
      <w:r>
        <w:rPr>
          <w:rFonts w:hint="eastAsia" w:asciiTheme="minorEastAsia" w:hAnsiTheme="minorEastAsia" w:eastAsiaTheme="minorEastAsia"/>
          <w:sz w:val="28"/>
          <w:szCs w:val="28"/>
        </w:rPr>
        <w:t>五、监管保障</w:t>
      </w:r>
      <w:bookmarkEnd w:id="97"/>
      <w:bookmarkEnd w:id="98"/>
    </w:p>
    <w:p w14:paraId="7BCFF09D">
      <w:pPr>
        <w:spacing w:line="360" w:lineRule="auto"/>
        <w:ind w:firstLine="480" w:firstLineChars="200"/>
        <w:rPr>
          <w:rFonts w:ascii="宋体" w:hAnsi="宋体" w:eastAsia="宋体" w:cs="仿宋"/>
          <w:kern w:val="0"/>
          <w:sz w:val="24"/>
          <w:lang w:bidi="zh-CN"/>
        </w:rPr>
      </w:pPr>
      <w:r>
        <w:rPr>
          <w:rFonts w:hint="eastAsia" w:ascii="宋体" w:hAnsi="宋体" w:eastAsia="宋体" w:cs="仿宋"/>
          <w:kern w:val="0"/>
          <w:sz w:val="24"/>
          <w:lang w:bidi="zh-CN"/>
        </w:rPr>
        <w:t>大力开展电子商务专项统计工作，创新电子商务统计方法，对各类电子商务业务模式进行全口径统计，建立电子商务大数据统计和发布制度，重点做好支柱行业、优势产品、跨境商品的监测工作，推动基础数据的共享，为政府和企业决策提供支持。</w:t>
      </w:r>
      <w:r>
        <w:rPr>
          <w:rFonts w:ascii="宋体" w:hAnsi="宋体" w:eastAsia="宋体" w:cs="仿宋"/>
          <w:kern w:val="0"/>
          <w:sz w:val="24"/>
          <w:lang w:bidi="zh-CN"/>
        </w:rPr>
        <w:t>发挥公安、</w:t>
      </w:r>
      <w:r>
        <w:rPr>
          <w:rFonts w:hint="eastAsia" w:ascii="宋体" w:hAnsi="宋体" w:eastAsia="宋体" w:cs="仿宋"/>
          <w:kern w:val="0"/>
          <w:sz w:val="24"/>
          <w:lang w:bidi="zh-CN"/>
        </w:rPr>
        <w:t>市</w:t>
      </w:r>
      <w:r>
        <w:rPr>
          <w:rFonts w:ascii="宋体" w:hAnsi="宋体" w:eastAsia="宋体" w:cs="仿宋"/>
          <w:kern w:val="0"/>
          <w:sz w:val="24"/>
          <w:lang w:bidi="zh-CN"/>
        </w:rPr>
        <w:t>监、税务、商务、农业、文旅等部门监管职能，研究制定电子商务监督管理规范，建立完善协同监管机制</w:t>
      </w:r>
      <w:r>
        <w:rPr>
          <w:rFonts w:hint="eastAsia" w:ascii="宋体" w:hAnsi="宋体" w:eastAsia="宋体" w:cs="仿宋"/>
          <w:kern w:val="0"/>
          <w:sz w:val="24"/>
          <w:lang w:bidi="zh-CN"/>
        </w:rPr>
        <w:t>，加大对网络侵犯知识产权、制售假冒伪劣商品和价格欺诈等违法经营行为的打击力度，深入推进电子商务流程信用监管，广泛开展电子商务信用联合奖惩，维护公平诚信的电子商务市场秩序</w:t>
      </w:r>
      <w:r>
        <w:rPr>
          <w:rFonts w:ascii="宋体" w:hAnsi="宋体" w:eastAsia="宋体" w:cs="仿宋"/>
          <w:kern w:val="0"/>
          <w:sz w:val="24"/>
          <w:lang w:bidi="zh-CN"/>
        </w:rPr>
        <w:t>。</w:t>
      </w:r>
    </w:p>
    <w:p w14:paraId="6B01C0BF">
      <w:pPr>
        <w:rPr>
          <w:rFonts w:ascii="Calibri" w:hAnsi="Calibri" w:eastAsia="宋体" w:cs="Times New Roman"/>
        </w:rPr>
      </w:pPr>
    </w:p>
    <w:p w14:paraId="6554841E">
      <w:pPr>
        <w:rPr>
          <w:rFonts w:ascii="等线" w:hAnsi="等线" w:eastAsia="等线" w:cs="Times New Roman"/>
        </w:rPr>
      </w:pPr>
    </w:p>
    <w:p w14:paraId="3976D9DE">
      <w:r>
        <w:br w:type="page"/>
      </w:r>
    </w:p>
    <w:p w14:paraId="64B0E5B3">
      <w:pPr>
        <w:pStyle w:val="2"/>
        <w:jc w:val="center"/>
        <w:rPr>
          <w:rFonts w:hint="default" w:ascii="黑体" w:hAnsi="黑体" w:eastAsia="黑体"/>
          <w:sz w:val="36"/>
          <w:szCs w:val="36"/>
          <w:lang w:bidi="ar"/>
        </w:rPr>
      </w:pPr>
      <w:bookmarkStart w:id="99" w:name="_Toc183083299"/>
      <w:r>
        <w:rPr>
          <w:rFonts w:ascii="黑体" w:hAnsi="黑体" w:eastAsia="黑体"/>
          <w:sz w:val="36"/>
          <w:szCs w:val="36"/>
          <w:lang w:bidi="ar"/>
        </w:rPr>
        <w:t>附件1：郧阳区电子商务各部门职责分工</w:t>
      </w:r>
      <w:bookmarkEnd w:id="99"/>
    </w:p>
    <w:p w14:paraId="710B63BD">
      <w:pPr>
        <w:ind w:firstLine="480" w:firstLineChars="200"/>
        <w:rPr>
          <w:sz w:val="24"/>
        </w:rPr>
      </w:pPr>
      <w:r>
        <w:rPr>
          <w:rFonts w:hint="eastAsia"/>
          <w:sz w:val="24"/>
        </w:rPr>
        <w:t>《郧阳区电子商务发展规划(2025-2027)》的各部门分工如下表：</w:t>
      </w:r>
    </w:p>
    <w:p w14:paraId="22DC3BDF">
      <w:pPr>
        <w:rPr>
          <w:b/>
          <w:bCs/>
          <w:sz w:val="24"/>
        </w:rPr>
      </w:pPr>
    </w:p>
    <w:tbl>
      <w:tblPr>
        <w:tblStyle w:val="15"/>
        <w:tblW w:w="8424" w:type="dxa"/>
        <w:tblInd w:w="98" w:type="dxa"/>
        <w:tblLayout w:type="fixed"/>
        <w:tblCellMar>
          <w:top w:w="0" w:type="dxa"/>
          <w:left w:w="108" w:type="dxa"/>
          <w:bottom w:w="0" w:type="dxa"/>
          <w:right w:w="108" w:type="dxa"/>
        </w:tblCellMar>
      </w:tblPr>
      <w:tblGrid>
        <w:gridCol w:w="2058"/>
        <w:gridCol w:w="6366"/>
      </w:tblGrid>
      <w:tr w14:paraId="74DC2BE0">
        <w:tblPrEx>
          <w:tblCellMar>
            <w:top w:w="0" w:type="dxa"/>
            <w:left w:w="108" w:type="dxa"/>
            <w:bottom w:w="0" w:type="dxa"/>
            <w:right w:w="108" w:type="dxa"/>
          </w:tblCellMar>
        </w:tblPrEx>
        <w:trPr>
          <w:trHeight w:val="28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BD77">
            <w:pPr>
              <w:widowControl/>
              <w:jc w:val="center"/>
              <w:textAlignment w:val="center"/>
              <w:rPr>
                <w:rFonts w:ascii="宋体" w:hAnsi="宋体" w:eastAsia="宋体" w:cs="宋体"/>
                <w:b/>
                <w:bCs/>
                <w:sz w:val="24"/>
              </w:rPr>
            </w:pPr>
            <w:r>
              <w:rPr>
                <w:rFonts w:hint="eastAsia" w:ascii="宋体" w:hAnsi="宋体" w:eastAsia="宋体" w:cs="宋体"/>
                <w:b/>
                <w:bCs/>
                <w:kern w:val="0"/>
                <w:sz w:val="24"/>
                <w:lang w:bidi="ar"/>
              </w:rPr>
              <w:t>单位</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67AB">
            <w:pPr>
              <w:widowControl/>
              <w:jc w:val="center"/>
              <w:textAlignment w:val="center"/>
              <w:rPr>
                <w:rFonts w:ascii="宋体" w:hAnsi="宋体" w:eastAsia="宋体" w:cs="宋体"/>
                <w:b/>
                <w:bCs/>
                <w:sz w:val="24"/>
              </w:rPr>
            </w:pPr>
            <w:r>
              <w:rPr>
                <w:rFonts w:hint="eastAsia" w:ascii="宋体" w:hAnsi="宋体" w:eastAsia="宋体" w:cs="宋体"/>
                <w:b/>
                <w:bCs/>
                <w:kern w:val="0"/>
                <w:sz w:val="24"/>
                <w:lang w:bidi="ar"/>
              </w:rPr>
              <w:t>职责</w:t>
            </w:r>
          </w:p>
        </w:tc>
      </w:tr>
      <w:tr w14:paraId="5407194F">
        <w:tblPrEx>
          <w:tblCellMar>
            <w:top w:w="0" w:type="dxa"/>
            <w:left w:w="108" w:type="dxa"/>
            <w:bottom w:w="0" w:type="dxa"/>
            <w:right w:w="108" w:type="dxa"/>
          </w:tblCellMar>
        </w:tblPrEx>
        <w:trPr>
          <w:trHeight w:val="56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A549">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区商务局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1595">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负责电子商务的整体规划和政策制定，推动电子商务与工业、农业、商贸服务等重点行业领域的融合发展</w:t>
            </w:r>
            <w:r>
              <w:rPr>
                <w:rFonts w:hint="eastAsia" w:ascii="宋体" w:hAnsi="宋体" w:eastAsia="宋体" w:cs="仿宋"/>
                <w:kern w:val="0"/>
                <w:sz w:val="24"/>
                <w:lang w:bidi="zh-CN"/>
              </w:rPr>
              <w:t>；</w:t>
            </w:r>
            <w:r>
              <w:rPr>
                <w:rFonts w:ascii="宋体" w:hAnsi="宋体" w:eastAsia="宋体" w:cs="仿宋"/>
                <w:kern w:val="0"/>
                <w:sz w:val="24"/>
                <w:lang w:bidi="zh-CN"/>
              </w:rPr>
              <w:t>推动电子商务配套服务体系建设，优化全</w:t>
            </w:r>
            <w:r>
              <w:rPr>
                <w:rFonts w:hint="eastAsia" w:ascii="宋体" w:hAnsi="宋体" w:eastAsia="宋体" w:cs="仿宋"/>
                <w:kern w:val="0"/>
                <w:sz w:val="24"/>
                <w:lang w:val="en-US" w:bidi="zh-CN"/>
              </w:rPr>
              <w:t>区</w:t>
            </w:r>
            <w:r>
              <w:rPr>
                <w:rFonts w:ascii="宋体" w:hAnsi="宋体" w:eastAsia="宋体" w:cs="仿宋"/>
                <w:kern w:val="0"/>
                <w:sz w:val="24"/>
                <w:lang w:bidi="zh-CN"/>
              </w:rPr>
              <w:t>电子商务发展环境。</w:t>
            </w:r>
          </w:p>
        </w:tc>
      </w:tr>
      <w:tr w14:paraId="4667BF85">
        <w:tblPrEx>
          <w:tblCellMar>
            <w:top w:w="0" w:type="dxa"/>
            <w:left w:w="108" w:type="dxa"/>
            <w:bottom w:w="0" w:type="dxa"/>
            <w:right w:w="108" w:type="dxa"/>
          </w:tblCellMar>
        </w:tblPrEx>
        <w:trPr>
          <w:trHeight w:val="56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E987">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区委宣传部</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8AB2">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负责电子商务相关的各类媒体宣传推广、舆论引导，开展宣传教育活动，及时宣传报道全区电子商务发展最新动态和重大成果。</w:t>
            </w:r>
          </w:p>
        </w:tc>
      </w:tr>
      <w:tr w14:paraId="272E272C">
        <w:tblPrEx>
          <w:tblCellMar>
            <w:top w:w="0" w:type="dxa"/>
            <w:left w:w="108" w:type="dxa"/>
            <w:bottom w:w="0" w:type="dxa"/>
            <w:right w:w="108" w:type="dxa"/>
          </w:tblCellMar>
        </w:tblPrEx>
        <w:trPr>
          <w:trHeight w:val="81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F712">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区财政局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1AF6">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负责全区电子商务项目资金及经费的落实和保障，负责全区电子商务发展项目资金、扶持政策资金、产业基金的审核、兑现、监管。</w:t>
            </w:r>
          </w:p>
        </w:tc>
      </w:tr>
      <w:tr w14:paraId="09F48FD0">
        <w:tblPrEx>
          <w:tblCellMar>
            <w:top w:w="0" w:type="dxa"/>
            <w:left w:w="108" w:type="dxa"/>
            <w:bottom w:w="0" w:type="dxa"/>
            <w:right w:w="108" w:type="dxa"/>
          </w:tblCellMar>
        </w:tblPrEx>
        <w:trPr>
          <w:trHeight w:val="81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03B7">
            <w:pPr>
              <w:widowControl/>
              <w:jc w:val="center"/>
              <w:textAlignment w:val="center"/>
              <w:rPr>
                <w:rFonts w:ascii="宋体" w:hAnsi="宋体" w:eastAsia="宋体" w:cs="宋体"/>
                <w:bCs/>
                <w:sz w:val="24"/>
              </w:rPr>
            </w:pPr>
            <w:r>
              <w:rPr>
                <w:rFonts w:hint="eastAsia" w:ascii="宋体" w:hAnsi="宋体" w:eastAsia="宋体" w:cs="宋体"/>
                <w:bCs/>
                <w:sz w:val="24"/>
              </w:rPr>
              <w:t>区发展和改革局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A6C0">
            <w:pPr>
              <w:widowControl/>
              <w:spacing w:line="360" w:lineRule="auto"/>
              <w:jc w:val="left"/>
              <w:rPr>
                <w:rFonts w:ascii="宋体" w:hAnsi="宋体" w:eastAsia="宋体" w:cs="仿宋"/>
                <w:kern w:val="0"/>
                <w:sz w:val="24"/>
                <w:lang w:bidi="zh-CN"/>
              </w:rPr>
            </w:pPr>
            <w:r>
              <w:rPr>
                <w:rFonts w:ascii="宋体" w:hAnsi="宋体" w:eastAsia="宋体" w:cs="Segoe UI"/>
                <w:sz w:val="24"/>
                <w:shd w:val="clear" w:color="auto" w:fill="FFFFFF"/>
              </w:rPr>
              <w:t>负责</w:t>
            </w:r>
            <w:r>
              <w:rPr>
                <w:rFonts w:hint="eastAsia" w:ascii="宋体" w:hAnsi="宋体" w:eastAsia="宋体" w:cs="Segoe UI"/>
                <w:sz w:val="24"/>
                <w:shd w:val="clear" w:color="auto" w:fill="FFFFFF"/>
                <w:lang w:val="en-US" w:eastAsia="zh-CN"/>
              </w:rPr>
              <w:t>谋划</w:t>
            </w:r>
            <w:r>
              <w:rPr>
                <w:rFonts w:ascii="宋体" w:hAnsi="宋体" w:eastAsia="宋体" w:cs="Segoe UI"/>
                <w:sz w:val="24"/>
                <w:shd w:val="clear" w:color="auto" w:fill="FFFFFF"/>
              </w:rPr>
              <w:t>电子商务产业</w:t>
            </w:r>
            <w:r>
              <w:rPr>
                <w:rFonts w:hint="eastAsia" w:ascii="宋体" w:hAnsi="宋体" w:eastAsia="宋体" w:cs="Segoe UI"/>
                <w:sz w:val="24"/>
                <w:shd w:val="clear" w:color="auto" w:fill="FFFFFF"/>
                <w:lang w:val="en-US" w:eastAsia="zh-CN"/>
              </w:rPr>
              <w:t>发展项目</w:t>
            </w:r>
            <w:r>
              <w:rPr>
                <w:rFonts w:ascii="宋体" w:hAnsi="宋体" w:eastAsia="宋体" w:cs="Segoe UI"/>
                <w:sz w:val="24"/>
                <w:shd w:val="clear" w:color="auto" w:fill="FFFFFF"/>
              </w:rPr>
              <w:t>，协调电子商务产业发展的重大问题，并衔接平衡相关发展规划和重大决策。</w:t>
            </w:r>
          </w:p>
        </w:tc>
      </w:tr>
      <w:tr w14:paraId="1DFFF507">
        <w:tblPrEx>
          <w:tblCellMar>
            <w:top w:w="0" w:type="dxa"/>
            <w:left w:w="108" w:type="dxa"/>
            <w:bottom w:w="0" w:type="dxa"/>
            <w:right w:w="108" w:type="dxa"/>
          </w:tblCellMar>
        </w:tblPrEx>
        <w:trPr>
          <w:trHeight w:val="56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684C">
            <w:pPr>
              <w:widowControl/>
              <w:jc w:val="center"/>
              <w:textAlignment w:val="center"/>
              <w:rPr>
                <w:rFonts w:ascii="宋体" w:hAnsi="宋体" w:eastAsia="宋体" w:cs="宋体"/>
                <w:bCs/>
                <w:sz w:val="24"/>
              </w:rPr>
            </w:pPr>
            <w:r>
              <w:rPr>
                <w:rFonts w:hint="eastAsia" w:ascii="宋体" w:hAnsi="宋体" w:eastAsia="宋体" w:cs="Segoe UI"/>
                <w:sz w:val="24"/>
                <w:shd w:val="clear" w:color="auto" w:fill="FFFFFF"/>
              </w:rPr>
              <w:t>区</w:t>
            </w:r>
            <w:r>
              <w:rPr>
                <w:rFonts w:ascii="宋体" w:hAnsi="宋体" w:eastAsia="宋体" w:cs="Segoe UI"/>
                <w:sz w:val="24"/>
                <w:shd w:val="clear" w:color="auto" w:fill="FFFFFF"/>
              </w:rPr>
              <w:t>农业农村局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6871">
            <w:pPr>
              <w:widowControl/>
              <w:spacing w:line="360" w:lineRule="auto"/>
              <w:jc w:val="left"/>
              <w:rPr>
                <w:rFonts w:hint="default" w:ascii="宋体" w:hAnsi="宋体" w:eastAsia="宋体" w:cs="仿宋"/>
                <w:kern w:val="0"/>
                <w:sz w:val="24"/>
                <w:lang w:val="en-US" w:bidi="zh-CN"/>
              </w:rPr>
            </w:pPr>
            <w:r>
              <w:rPr>
                <w:rFonts w:ascii="宋体" w:hAnsi="宋体" w:eastAsia="宋体" w:cs="仿宋"/>
                <w:kern w:val="0"/>
                <w:sz w:val="24"/>
                <w:lang w:bidi="zh-CN"/>
              </w:rPr>
              <w:t>负责推动农村电子商务的发展，促进农产品网络营销，提升农业信息化水平</w:t>
            </w:r>
            <w:r>
              <w:rPr>
                <w:rFonts w:hint="eastAsia" w:ascii="宋体" w:hAnsi="宋体" w:eastAsia="宋体" w:cs="仿宋"/>
                <w:kern w:val="0"/>
                <w:sz w:val="24"/>
                <w:lang w:bidi="zh-CN"/>
              </w:rPr>
              <w:t>；</w:t>
            </w:r>
            <w:r>
              <w:rPr>
                <w:rFonts w:ascii="宋体" w:hAnsi="宋体" w:eastAsia="宋体" w:cs="仿宋"/>
                <w:kern w:val="0"/>
                <w:sz w:val="24"/>
                <w:lang w:bidi="zh-CN"/>
              </w:rPr>
              <w:t>协助开展农特产品电子商务的推广与人才培训。牵头推进农业企业电子商务应用。</w:t>
            </w:r>
            <w:r>
              <w:rPr>
                <w:rFonts w:hint="eastAsia" w:ascii="宋体" w:hAnsi="宋体" w:eastAsia="宋体" w:cs="仿宋"/>
                <w:kern w:val="0"/>
                <w:sz w:val="24"/>
                <w:lang w:bidi="zh-CN"/>
              </w:rPr>
              <w:t>负责依据规划组织发动脱贫户参加电子商务培训，并跟踪统计培训效果、脱贫效果。</w:t>
            </w:r>
            <w:r>
              <w:rPr>
                <w:rFonts w:hint="eastAsia" w:ascii="宋体" w:hAnsi="宋体" w:eastAsia="宋体" w:cs="仿宋"/>
                <w:kern w:val="0"/>
                <w:sz w:val="24"/>
                <w:lang w:val="en-US" w:bidi="zh-CN"/>
              </w:rPr>
              <w:t>牵头抓好农产品溯源系统应用工作。</w:t>
            </w:r>
          </w:p>
        </w:tc>
      </w:tr>
      <w:tr w14:paraId="475AB7FD">
        <w:tblPrEx>
          <w:tblCellMar>
            <w:top w:w="0" w:type="dxa"/>
            <w:left w:w="108" w:type="dxa"/>
            <w:bottom w:w="0" w:type="dxa"/>
            <w:right w:w="108" w:type="dxa"/>
          </w:tblCellMar>
        </w:tblPrEx>
        <w:trPr>
          <w:trHeight w:val="108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9624">
            <w:pPr>
              <w:widowControl/>
              <w:jc w:val="center"/>
              <w:textAlignment w:val="center"/>
              <w:rPr>
                <w:rFonts w:ascii="宋体" w:hAnsi="宋体" w:eastAsia="宋体" w:cs="宋体"/>
                <w:bCs/>
                <w:sz w:val="24"/>
              </w:rPr>
            </w:pPr>
            <w:r>
              <w:rPr>
                <w:rFonts w:hint="eastAsia" w:ascii="宋体" w:hAnsi="宋体" w:eastAsia="宋体" w:cs="宋体"/>
                <w:bCs/>
                <w:kern w:val="0"/>
                <w:sz w:val="24"/>
                <w:lang w:val="en-US" w:eastAsia="zh-CN" w:bidi="ar"/>
              </w:rPr>
              <w:t>区人才办、</w:t>
            </w:r>
            <w:r>
              <w:rPr>
                <w:rFonts w:hint="eastAsia" w:ascii="宋体" w:hAnsi="宋体" w:eastAsia="宋体" w:cs="宋体"/>
                <w:bCs/>
                <w:kern w:val="0"/>
                <w:sz w:val="24"/>
                <w:lang w:bidi="ar"/>
              </w:rPr>
              <w:t>区人力资源和社会保障局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4A07">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加强电子商务发展专业技术人才、高技能人才和经营管理人才的引进、培训。</w:t>
            </w:r>
          </w:p>
        </w:tc>
      </w:tr>
      <w:tr w14:paraId="2681E6A9">
        <w:tblPrEx>
          <w:tblCellMar>
            <w:top w:w="0" w:type="dxa"/>
            <w:left w:w="108" w:type="dxa"/>
            <w:bottom w:w="0" w:type="dxa"/>
            <w:right w:w="108" w:type="dxa"/>
          </w:tblCellMar>
        </w:tblPrEx>
        <w:trPr>
          <w:trHeight w:val="54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0681">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区教育局、郧阳科技学校</w:t>
            </w:r>
          </w:p>
        </w:tc>
        <w:tc>
          <w:tcPr>
            <w:tcW w:w="6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DBAA">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负责加强电子商务职业教育和专业技术培训，督促职业技术学校开设电子商务课程，开展实习实训。</w:t>
            </w:r>
          </w:p>
        </w:tc>
      </w:tr>
      <w:tr w14:paraId="58D42F5C">
        <w:tblPrEx>
          <w:tblCellMar>
            <w:top w:w="0" w:type="dxa"/>
            <w:left w:w="108" w:type="dxa"/>
            <w:bottom w:w="0" w:type="dxa"/>
            <w:right w:w="108" w:type="dxa"/>
          </w:tblCellMar>
        </w:tblPrEx>
        <w:trPr>
          <w:trHeight w:val="28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073A">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区供销社</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7BD1">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指导基层社、农民合作社、经济组织开展电子商务应用，联合农产品加工企业、专业合作社等创建电商公司。</w:t>
            </w:r>
          </w:p>
        </w:tc>
      </w:tr>
      <w:tr w14:paraId="75C9F997">
        <w:tblPrEx>
          <w:tblCellMar>
            <w:top w:w="0" w:type="dxa"/>
            <w:left w:w="108" w:type="dxa"/>
            <w:bottom w:w="0" w:type="dxa"/>
            <w:right w:w="108" w:type="dxa"/>
          </w:tblCellMar>
        </w:tblPrEx>
        <w:trPr>
          <w:trHeight w:val="112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C87C">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区科学技术和经济信息化局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9C38">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引导和支持</w:t>
            </w:r>
            <w:r>
              <w:rPr>
                <w:rFonts w:hint="eastAsia" w:ascii="宋体" w:hAnsi="宋体" w:eastAsia="宋体" w:cs="仿宋"/>
                <w:kern w:val="0"/>
                <w:sz w:val="24"/>
                <w:lang w:bidi="zh-CN"/>
              </w:rPr>
              <w:t>区</w:t>
            </w:r>
            <w:r>
              <w:rPr>
                <w:rFonts w:ascii="宋体" w:hAnsi="宋体" w:eastAsia="宋体" w:cs="仿宋"/>
                <w:kern w:val="0"/>
                <w:sz w:val="24"/>
                <w:lang w:bidi="zh-CN"/>
              </w:rPr>
              <w:t>域内工业企业开展电子商务应用，推动工业企业的信息化改造和数字化转型，提高企业生产效率和管理水平。负责组织工业企业参加各类电商展会、对接会等活动，帮助企业拓展市场，提升</w:t>
            </w:r>
            <w:r>
              <w:rPr>
                <w:rFonts w:hint="eastAsia" w:ascii="宋体" w:hAnsi="宋体" w:eastAsia="宋体" w:cs="仿宋"/>
                <w:kern w:val="0"/>
                <w:sz w:val="24"/>
                <w:lang w:bidi="zh-CN"/>
              </w:rPr>
              <w:t>区</w:t>
            </w:r>
            <w:r>
              <w:rPr>
                <w:rFonts w:ascii="宋体" w:hAnsi="宋体" w:eastAsia="宋体" w:cs="仿宋"/>
                <w:kern w:val="0"/>
                <w:sz w:val="24"/>
                <w:lang w:bidi="zh-CN"/>
              </w:rPr>
              <w:t>域工业产品的知名度和影响力。</w:t>
            </w:r>
          </w:p>
        </w:tc>
      </w:tr>
      <w:tr w14:paraId="7300D402">
        <w:tblPrEx>
          <w:tblCellMar>
            <w:top w:w="0" w:type="dxa"/>
            <w:left w:w="108" w:type="dxa"/>
            <w:bottom w:w="0" w:type="dxa"/>
            <w:right w:w="108" w:type="dxa"/>
          </w:tblCellMar>
        </w:tblPrEx>
        <w:trPr>
          <w:trHeight w:val="56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7FD5">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区交通运输局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9FE9">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负责完善物流配送体系，支持电商物流的发展，提高物流配送的社会化、组织化和信息化水平。</w:t>
            </w:r>
          </w:p>
        </w:tc>
      </w:tr>
      <w:tr w14:paraId="761DE601">
        <w:tblPrEx>
          <w:tblCellMar>
            <w:top w:w="0" w:type="dxa"/>
            <w:left w:w="108" w:type="dxa"/>
            <w:bottom w:w="0" w:type="dxa"/>
            <w:right w:w="108" w:type="dxa"/>
          </w:tblCellMar>
        </w:tblPrEx>
        <w:trPr>
          <w:trHeight w:val="111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F449">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区市场监管管理局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EB0F">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负责做好全区电子商务企业(网店)的登记工作，加强对电商企业和网店的诚信教育和监督；负责全区网货产品的质量监督和食品安全监管;推进本区农产品标准化、品牌化工作。</w:t>
            </w:r>
          </w:p>
        </w:tc>
      </w:tr>
      <w:tr w14:paraId="03285162">
        <w:tblPrEx>
          <w:tblCellMar>
            <w:top w:w="0" w:type="dxa"/>
            <w:left w:w="108" w:type="dxa"/>
            <w:bottom w:w="0" w:type="dxa"/>
            <w:right w:w="108" w:type="dxa"/>
          </w:tblCellMar>
        </w:tblPrEx>
        <w:trPr>
          <w:trHeight w:val="54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DE1A">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区税务局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2C35">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负责执行国家支持电子商务发展的有关优惠政策；配合落实规划中跨境电子商务相关工程。</w:t>
            </w:r>
          </w:p>
        </w:tc>
      </w:tr>
      <w:tr w14:paraId="3CBA6508">
        <w:tblPrEx>
          <w:tblCellMar>
            <w:top w:w="0" w:type="dxa"/>
            <w:left w:w="108" w:type="dxa"/>
            <w:bottom w:w="0" w:type="dxa"/>
            <w:right w:w="108" w:type="dxa"/>
          </w:tblCellMar>
        </w:tblPrEx>
        <w:trPr>
          <w:trHeight w:val="28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56CA">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区统计局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1FCE4">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负责配合电子商务相关统计工作，做好记录。</w:t>
            </w:r>
          </w:p>
        </w:tc>
      </w:tr>
      <w:tr w14:paraId="06D00CE3">
        <w:tblPrEx>
          <w:tblCellMar>
            <w:top w:w="0" w:type="dxa"/>
            <w:left w:w="108" w:type="dxa"/>
            <w:bottom w:w="0" w:type="dxa"/>
            <w:right w:w="108" w:type="dxa"/>
          </w:tblCellMar>
        </w:tblPrEx>
        <w:trPr>
          <w:trHeight w:val="54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A629">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区文化和旅游局</w:t>
            </w:r>
          </w:p>
        </w:tc>
        <w:tc>
          <w:tcPr>
            <w:tcW w:w="6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66709">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负责推动电子商务与文化旅游产业的融合，</w:t>
            </w:r>
            <w:r>
              <w:rPr>
                <w:rFonts w:hint="eastAsia" w:ascii="宋体" w:hAnsi="宋体" w:eastAsia="宋体" w:cs="仿宋"/>
                <w:kern w:val="0"/>
                <w:sz w:val="24"/>
                <w:lang w:bidi="zh-CN"/>
              </w:rPr>
              <w:t>做好全区各旅游景点的网上宣传、旅游线路网上推介、网上购票等具体项目的实施。</w:t>
            </w:r>
          </w:p>
        </w:tc>
      </w:tr>
      <w:tr w14:paraId="76AF0C7D">
        <w:tblPrEx>
          <w:tblCellMar>
            <w:top w:w="0" w:type="dxa"/>
            <w:left w:w="108" w:type="dxa"/>
            <w:bottom w:w="0" w:type="dxa"/>
            <w:right w:w="108" w:type="dxa"/>
          </w:tblCellMar>
        </w:tblPrEx>
        <w:trPr>
          <w:trHeight w:val="54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126A0">
            <w:pPr>
              <w:widowControl/>
              <w:jc w:val="center"/>
              <w:textAlignment w:val="center"/>
              <w:rPr>
                <w:rFonts w:ascii="宋体" w:hAnsi="宋体" w:eastAsia="宋体" w:cs="宋体"/>
                <w:bCs/>
                <w:kern w:val="0"/>
                <w:sz w:val="24"/>
                <w:lang w:bidi="ar"/>
              </w:rPr>
            </w:pPr>
            <w:r>
              <w:rPr>
                <w:rFonts w:hint="eastAsia" w:ascii="宋体" w:hAnsi="宋体" w:eastAsia="宋体" w:cs="宋体"/>
                <w:bCs/>
                <w:kern w:val="0"/>
                <w:sz w:val="24"/>
                <w:lang w:bidi="ar"/>
              </w:rPr>
              <w:t>区金融办</w:t>
            </w:r>
          </w:p>
        </w:tc>
        <w:tc>
          <w:tcPr>
            <w:tcW w:w="6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228E">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协调金融机构加大对电子商务企业的信贷支持力度，创新金融产品和服务模式，满足电商企业不同发展阶段的融资需求。</w:t>
            </w:r>
            <w:r>
              <w:rPr>
                <w:rFonts w:hint="eastAsia" w:ascii="宋体" w:hAnsi="宋体" w:eastAsia="宋体" w:cs="仿宋"/>
                <w:kern w:val="0"/>
                <w:sz w:val="24"/>
                <w:lang w:bidi="zh-CN"/>
              </w:rPr>
              <w:t>定期组织银企对接，积极推动银企交流合作，</w:t>
            </w:r>
            <w:r>
              <w:rPr>
                <w:rFonts w:ascii="宋体" w:hAnsi="宋体" w:eastAsia="宋体" w:cs="仿宋"/>
                <w:kern w:val="0"/>
                <w:sz w:val="24"/>
                <w:lang w:bidi="zh-CN"/>
              </w:rPr>
              <w:t>推动建立电商企业融资担保机制，</w:t>
            </w:r>
            <w:r>
              <w:rPr>
                <w:rFonts w:hint="eastAsia" w:ascii="宋体" w:hAnsi="宋体" w:eastAsia="宋体" w:cs="仿宋"/>
                <w:kern w:val="0"/>
                <w:sz w:val="24"/>
                <w:lang w:bidi="zh-CN"/>
              </w:rPr>
              <w:t>为电商企业提供更加全面、优质的金融服务。</w:t>
            </w:r>
          </w:p>
        </w:tc>
      </w:tr>
      <w:tr w14:paraId="7EC492A5">
        <w:tblPrEx>
          <w:tblCellMar>
            <w:top w:w="0" w:type="dxa"/>
            <w:left w:w="108" w:type="dxa"/>
            <w:bottom w:w="0" w:type="dxa"/>
            <w:right w:w="108" w:type="dxa"/>
          </w:tblCellMar>
        </w:tblPrEx>
        <w:trPr>
          <w:trHeight w:val="54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0A3F">
            <w:pPr>
              <w:widowControl/>
              <w:jc w:val="center"/>
              <w:textAlignment w:val="center"/>
              <w:rPr>
                <w:rFonts w:ascii="宋体" w:hAnsi="宋体" w:eastAsia="宋体" w:cs="宋体"/>
                <w:bCs/>
                <w:sz w:val="24"/>
              </w:rPr>
            </w:pPr>
            <w:r>
              <w:rPr>
                <w:rFonts w:hint="eastAsia" w:ascii="宋体" w:hAnsi="宋体" w:eastAsia="宋体" w:cs="宋体"/>
                <w:bCs/>
                <w:kern w:val="0"/>
                <w:sz w:val="24"/>
                <w:lang w:bidi="ar"/>
              </w:rPr>
              <w:t>区总工会、团委、妇联</w:t>
            </w:r>
          </w:p>
        </w:tc>
        <w:tc>
          <w:tcPr>
            <w:tcW w:w="6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965B">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负责组织全区工会会员、广大青年、妇女参与电子商务培训和大众创业。</w:t>
            </w:r>
          </w:p>
        </w:tc>
      </w:tr>
      <w:tr w14:paraId="6EB92668">
        <w:tblPrEx>
          <w:tblCellMar>
            <w:top w:w="0" w:type="dxa"/>
            <w:left w:w="108" w:type="dxa"/>
            <w:bottom w:w="0" w:type="dxa"/>
            <w:right w:w="108" w:type="dxa"/>
          </w:tblCellMar>
        </w:tblPrEx>
        <w:trPr>
          <w:trHeight w:val="84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3566">
            <w:pPr>
              <w:widowControl/>
              <w:jc w:val="center"/>
              <w:textAlignment w:val="center"/>
              <w:rPr>
                <w:rFonts w:ascii="宋体" w:hAnsi="宋体" w:eastAsia="宋体" w:cs="宋体"/>
                <w:bCs/>
                <w:kern w:val="0"/>
                <w:sz w:val="24"/>
                <w:lang w:bidi="ar"/>
              </w:rPr>
            </w:pPr>
            <w:r>
              <w:rPr>
                <w:rFonts w:hint="eastAsia" w:ascii="宋体" w:hAnsi="宋体" w:eastAsia="宋体" w:cs="宋体"/>
                <w:bCs/>
                <w:kern w:val="0"/>
                <w:sz w:val="24"/>
                <w:lang w:bidi="ar"/>
              </w:rPr>
              <w:t>区招商服务中心</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1B15">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负责大型优秀电商企业及电子商务高端人才的招引工作。</w:t>
            </w:r>
          </w:p>
        </w:tc>
      </w:tr>
      <w:tr w14:paraId="15719385">
        <w:tblPrEx>
          <w:tblCellMar>
            <w:top w:w="0" w:type="dxa"/>
            <w:left w:w="108" w:type="dxa"/>
            <w:bottom w:w="0" w:type="dxa"/>
            <w:right w:w="108" w:type="dxa"/>
          </w:tblCellMar>
        </w:tblPrEx>
        <w:trPr>
          <w:trHeight w:val="84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0987">
            <w:pPr>
              <w:widowControl/>
              <w:jc w:val="center"/>
              <w:textAlignment w:val="center"/>
              <w:rPr>
                <w:rFonts w:hint="eastAsia" w:ascii="宋体" w:hAnsi="宋体" w:eastAsia="宋体" w:cs="宋体"/>
                <w:bCs/>
                <w:kern w:val="0"/>
                <w:sz w:val="24"/>
                <w:lang w:val="en-US" w:eastAsia="zh-CN" w:bidi="ar"/>
              </w:rPr>
            </w:pPr>
            <w:r>
              <w:rPr>
                <w:rFonts w:hint="eastAsia" w:ascii="宋体" w:hAnsi="宋体" w:eastAsia="宋体" w:cs="宋体"/>
                <w:bCs/>
                <w:kern w:val="0"/>
                <w:sz w:val="24"/>
                <w:lang w:bidi="ar"/>
              </w:rPr>
              <w:t>区邮政</w:t>
            </w:r>
            <w:r>
              <w:rPr>
                <w:rFonts w:hint="eastAsia" w:ascii="宋体" w:hAnsi="宋体" w:eastAsia="宋体" w:cs="宋体"/>
                <w:bCs/>
                <w:kern w:val="0"/>
                <w:sz w:val="24"/>
                <w:lang w:val="en-US" w:eastAsia="zh-CN" w:bidi="ar"/>
              </w:rPr>
              <w:t>公司</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F6AD">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协助做好县镇村三级物流配送体系建设及快递物流整合监管工作。</w:t>
            </w:r>
          </w:p>
        </w:tc>
      </w:tr>
      <w:tr w14:paraId="739B82AA">
        <w:tblPrEx>
          <w:tblCellMar>
            <w:top w:w="0" w:type="dxa"/>
            <w:left w:w="108" w:type="dxa"/>
            <w:bottom w:w="0" w:type="dxa"/>
            <w:right w:w="108" w:type="dxa"/>
          </w:tblCellMar>
        </w:tblPrEx>
        <w:trPr>
          <w:trHeight w:val="840" w:hRule="atLeast"/>
        </w:trPr>
        <w:tc>
          <w:tcPr>
            <w:tcW w:w="2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524A1">
            <w:pPr>
              <w:widowControl/>
              <w:jc w:val="center"/>
              <w:textAlignment w:val="center"/>
              <w:rPr>
                <w:rFonts w:ascii="宋体" w:hAnsi="宋体" w:eastAsia="宋体" w:cs="宋体"/>
                <w:bCs/>
                <w:kern w:val="0"/>
                <w:sz w:val="24"/>
                <w:lang w:bidi="ar"/>
              </w:rPr>
            </w:pPr>
            <w:r>
              <w:rPr>
                <w:rFonts w:hint="eastAsia" w:ascii="宋体" w:hAnsi="宋体" w:eastAsia="宋体" w:cs="宋体"/>
                <w:bCs/>
                <w:kern w:val="0"/>
                <w:sz w:val="24"/>
                <w:lang w:bidi="ar"/>
              </w:rPr>
              <w:t>乡镇政府</w:t>
            </w:r>
          </w:p>
        </w:tc>
        <w:tc>
          <w:tcPr>
            <w:tcW w:w="6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0489">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负责本地区电子商务的具体实施和推进，包括建立电子商务服务站点、组织地方特色产品上线等。</w:t>
            </w:r>
          </w:p>
        </w:tc>
      </w:tr>
    </w:tbl>
    <w:p w14:paraId="56B6E91A">
      <w:r>
        <w:br w:type="page"/>
      </w:r>
    </w:p>
    <w:p w14:paraId="1B437FFF">
      <w:pPr>
        <w:pStyle w:val="2"/>
        <w:jc w:val="center"/>
        <w:rPr>
          <w:rFonts w:hint="default" w:ascii="黑体" w:hAnsi="黑体" w:eastAsia="黑体"/>
          <w:sz w:val="36"/>
          <w:szCs w:val="36"/>
          <w:lang w:bidi="ar"/>
        </w:rPr>
      </w:pPr>
      <w:bookmarkStart w:id="100" w:name="_Toc183083300"/>
      <w:r>
        <w:rPr>
          <w:rFonts w:ascii="黑体" w:hAnsi="黑体" w:eastAsia="黑体"/>
          <w:sz w:val="36"/>
          <w:szCs w:val="36"/>
          <w:lang w:bidi="ar"/>
        </w:rPr>
        <w:t>附件2：</w:t>
      </w:r>
      <w:r>
        <w:rPr>
          <w:rFonts w:hint="default" w:ascii="黑体" w:hAnsi="黑体" w:eastAsia="黑体"/>
          <w:sz w:val="36"/>
          <w:szCs w:val="36"/>
          <w:lang w:bidi="ar"/>
        </w:rPr>
        <w:t>郧阳区电子商务发展规划依据</w:t>
      </w:r>
      <w:bookmarkEnd w:id="100"/>
    </w:p>
    <w:p w14:paraId="7447A297">
      <w:pPr>
        <w:widowControl/>
        <w:spacing w:line="360" w:lineRule="auto"/>
        <w:ind w:firstLine="480" w:firstLineChars="200"/>
        <w:jc w:val="left"/>
        <w:rPr>
          <w:rFonts w:ascii="宋体" w:hAnsi="宋体" w:eastAsia="宋体" w:cs="仿宋"/>
          <w:kern w:val="0"/>
          <w:sz w:val="24"/>
          <w:lang w:bidi="zh-CN"/>
        </w:rPr>
      </w:pPr>
      <w:r>
        <w:rPr>
          <w:rFonts w:ascii="宋体" w:hAnsi="宋体" w:eastAsia="宋体" w:cs="仿宋"/>
          <w:kern w:val="0"/>
          <w:sz w:val="24"/>
          <w:lang w:bidi="zh-CN"/>
        </w:rPr>
        <w:t>《郧阳区电子商务发展规划(2025-2027)》(以下简称《规划》)将依据</w:t>
      </w:r>
      <w:r>
        <w:rPr>
          <w:rFonts w:hint="eastAsia" w:ascii="宋体" w:hAnsi="宋体" w:eastAsia="宋体" w:cs="仿宋"/>
          <w:kern w:val="0"/>
          <w:sz w:val="24"/>
          <w:lang w:bidi="zh-CN"/>
        </w:rPr>
        <w:t>下表，</w:t>
      </w:r>
      <w:r>
        <w:rPr>
          <w:rFonts w:ascii="宋体" w:hAnsi="宋体" w:eastAsia="宋体" w:cs="仿宋"/>
          <w:kern w:val="0"/>
          <w:sz w:val="24"/>
          <w:lang w:bidi="zh-CN"/>
        </w:rPr>
        <w:t>结合我</w:t>
      </w:r>
      <w:r>
        <w:rPr>
          <w:rFonts w:hint="eastAsia" w:ascii="宋体" w:hAnsi="宋体" w:eastAsia="宋体" w:cs="仿宋"/>
          <w:kern w:val="0"/>
          <w:sz w:val="24"/>
          <w:lang w:bidi="zh-CN"/>
        </w:rPr>
        <w:t>区</w:t>
      </w:r>
      <w:r>
        <w:rPr>
          <w:rFonts w:ascii="宋体" w:hAnsi="宋体" w:eastAsia="宋体" w:cs="仿宋"/>
          <w:kern w:val="0"/>
          <w:sz w:val="24"/>
          <w:lang w:bidi="zh-CN"/>
        </w:rPr>
        <w:t>实际来编制。</w:t>
      </w:r>
    </w:p>
    <w:p w14:paraId="58181526">
      <w:pPr>
        <w:rPr>
          <w:rFonts w:ascii="Times New Roman" w:hAnsi="Times New Roman" w:eastAsia="宋体" w:cs="Times New Roman"/>
          <w:sz w:val="24"/>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840"/>
      </w:tblGrid>
      <w:tr w14:paraId="379D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568E9043">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1</w:t>
            </w:r>
          </w:p>
        </w:tc>
        <w:tc>
          <w:tcPr>
            <w:tcW w:w="7840" w:type="dxa"/>
          </w:tcPr>
          <w:p w14:paraId="42505A78">
            <w:pPr>
              <w:widowControl/>
              <w:spacing w:line="360" w:lineRule="auto"/>
              <w:jc w:val="left"/>
              <w:rPr>
                <w:rFonts w:ascii="宋体" w:hAnsi="宋体" w:eastAsia="宋体" w:cs="仿宋"/>
                <w:kern w:val="0"/>
                <w:sz w:val="24"/>
                <w:lang w:bidi="zh-CN"/>
              </w:rPr>
            </w:pPr>
            <w:r>
              <w:rPr>
                <w:rFonts w:ascii="宋体" w:hAnsi="宋体" w:eastAsia="宋体" w:cs="Arial"/>
                <w:sz w:val="24"/>
                <w:shd w:val="clear" w:color="auto" w:fill="FFFFFF"/>
              </w:rPr>
              <w:t>《中华人民共和国</w:t>
            </w:r>
            <w:r>
              <w:rPr>
                <w:rStyle w:val="19"/>
                <w:rFonts w:ascii="宋体" w:hAnsi="宋体" w:eastAsia="宋体" w:cs="Arial"/>
                <w:i w:val="0"/>
                <w:iCs w:val="0"/>
                <w:sz w:val="24"/>
                <w:shd w:val="clear" w:color="auto" w:fill="FFFFFF"/>
              </w:rPr>
              <w:t>国民经济和社会发展第十四个五年规划和2035年远景目标纲要</w:t>
            </w:r>
            <w:r>
              <w:rPr>
                <w:rFonts w:ascii="宋体" w:hAnsi="宋体" w:eastAsia="宋体" w:cs="Arial"/>
                <w:sz w:val="24"/>
                <w:shd w:val="clear" w:color="auto" w:fill="FFFFFF"/>
              </w:rPr>
              <w:t>》</w:t>
            </w:r>
          </w:p>
        </w:tc>
      </w:tr>
      <w:tr w14:paraId="5CB9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21D20034">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2</w:t>
            </w:r>
          </w:p>
        </w:tc>
        <w:tc>
          <w:tcPr>
            <w:tcW w:w="7840" w:type="dxa"/>
          </w:tcPr>
          <w:p w14:paraId="089CC70E">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《中共中央国务院关于实施乡村振兴战略的意见》</w:t>
            </w:r>
          </w:p>
        </w:tc>
      </w:tr>
      <w:tr w14:paraId="5C63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0163D566">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3</w:t>
            </w:r>
          </w:p>
        </w:tc>
        <w:tc>
          <w:tcPr>
            <w:tcW w:w="7840" w:type="dxa"/>
          </w:tcPr>
          <w:p w14:paraId="2DAB25DB">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 xml:space="preserve">中央网信办 </w:t>
            </w:r>
            <w:r>
              <w:rPr>
                <w:rFonts w:hint="eastAsia" w:ascii="宋体" w:hAnsi="宋体" w:eastAsia="宋体" w:cs="仿宋"/>
                <w:kern w:val="0"/>
                <w:sz w:val="24"/>
                <w:lang w:val="en-US" w:bidi="zh-CN"/>
              </w:rPr>
              <w:t xml:space="preserve">商务部 </w:t>
            </w:r>
            <w:r>
              <w:rPr>
                <w:rFonts w:ascii="宋体" w:hAnsi="宋体" w:eastAsia="宋体" w:cs="仿宋"/>
                <w:kern w:val="0"/>
                <w:sz w:val="24"/>
                <w:lang w:bidi="zh-CN"/>
              </w:rPr>
              <w:t>发展改革委《“十四五”电子商务发展规划》》(商电〔2021〕191号)</w:t>
            </w:r>
          </w:p>
        </w:tc>
      </w:tr>
      <w:tr w14:paraId="495B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56" w:type="dxa"/>
          </w:tcPr>
          <w:p w14:paraId="461DC004">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4</w:t>
            </w:r>
          </w:p>
        </w:tc>
        <w:tc>
          <w:tcPr>
            <w:tcW w:w="7840" w:type="dxa"/>
          </w:tcPr>
          <w:p w14:paraId="750E87FB">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商务部等9部门关于推动农村电商高质量发展的实施意见（商流通函〔2024〕39号）</w:t>
            </w:r>
          </w:p>
        </w:tc>
      </w:tr>
      <w:tr w14:paraId="6BD0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3DB329F6">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5</w:t>
            </w:r>
          </w:p>
        </w:tc>
        <w:tc>
          <w:tcPr>
            <w:tcW w:w="7840" w:type="dxa"/>
          </w:tcPr>
          <w:p w14:paraId="1D17D571">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商务部等9部门办公厅（室）关于印发《县域商业三年行动计划（2023-2025年）》的通知</w:t>
            </w:r>
          </w:p>
        </w:tc>
      </w:tr>
      <w:tr w14:paraId="67CB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2B022F6C">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6</w:t>
            </w:r>
          </w:p>
        </w:tc>
        <w:tc>
          <w:tcPr>
            <w:tcW w:w="7840" w:type="dxa"/>
          </w:tcPr>
          <w:p w14:paraId="4D31E7C6">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农业农村部办公厅关于印发《支持脱贫地区打造区域公用品牌实施方案(2023—2025 年)》的通知</w:t>
            </w:r>
          </w:p>
        </w:tc>
      </w:tr>
      <w:tr w14:paraId="66CA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1EF850AE">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7</w:t>
            </w:r>
          </w:p>
        </w:tc>
        <w:tc>
          <w:tcPr>
            <w:tcW w:w="7840" w:type="dxa"/>
          </w:tcPr>
          <w:p w14:paraId="0EA06040">
            <w:pPr>
              <w:widowControl/>
              <w:spacing w:line="360" w:lineRule="auto"/>
              <w:jc w:val="left"/>
              <w:rPr>
                <w:rFonts w:ascii="宋体" w:hAnsi="宋体" w:eastAsia="宋体" w:cs="仿宋"/>
                <w:kern w:val="0"/>
                <w:sz w:val="24"/>
                <w:lang w:bidi="zh-CN"/>
              </w:rPr>
            </w:pPr>
            <w:r>
              <w:rPr>
                <w:rFonts w:hint="eastAsia" w:ascii="宋体" w:hAnsi="宋体" w:eastAsia="宋体" w:cs="仿宋"/>
                <w:kern w:val="0"/>
                <w:sz w:val="24"/>
                <w:lang w:bidi="zh-CN"/>
              </w:rPr>
              <w:t>《中共湖北省委、湖北省人民政府关于奋力推进中国式现代化湖北实践加快建成中部地区崛起重要战略支点的意见》</w:t>
            </w:r>
          </w:p>
        </w:tc>
      </w:tr>
      <w:tr w14:paraId="7246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46CCA45C">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8</w:t>
            </w:r>
          </w:p>
        </w:tc>
        <w:tc>
          <w:tcPr>
            <w:tcW w:w="7840" w:type="dxa"/>
          </w:tcPr>
          <w:p w14:paraId="14463237">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《湖北省国民经济和社会发展第十四个五年规划和二〇三五年远景目标纲要》</w:t>
            </w:r>
          </w:p>
        </w:tc>
      </w:tr>
      <w:tr w14:paraId="2FB3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27C23E82">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9</w:t>
            </w:r>
          </w:p>
        </w:tc>
        <w:tc>
          <w:tcPr>
            <w:tcW w:w="7840" w:type="dxa"/>
          </w:tcPr>
          <w:p w14:paraId="4664B1A6">
            <w:pPr>
              <w:widowControl/>
              <w:spacing w:line="360" w:lineRule="auto"/>
              <w:jc w:val="left"/>
              <w:rPr>
                <w:rFonts w:ascii="宋体" w:hAnsi="宋体" w:eastAsia="宋体" w:cs="仿宋"/>
                <w:kern w:val="0"/>
                <w:sz w:val="24"/>
                <w:lang w:bidi="zh-CN"/>
              </w:rPr>
            </w:pPr>
            <w:r>
              <w:rPr>
                <w:rFonts w:ascii="宋体" w:hAnsi="宋体" w:eastAsia="宋体" w:cs="Segoe UI"/>
                <w:bCs/>
                <w:spacing w:val="1"/>
                <w:sz w:val="24"/>
                <w:shd w:val="clear" w:color="auto" w:fill="FFFFFF"/>
              </w:rPr>
              <w:t>《湖北数字经济强省三年行动计划（2022-2024年）》</w:t>
            </w:r>
          </w:p>
        </w:tc>
      </w:tr>
      <w:tr w14:paraId="4728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62D37A81">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10</w:t>
            </w:r>
          </w:p>
        </w:tc>
        <w:tc>
          <w:tcPr>
            <w:tcW w:w="7840" w:type="dxa"/>
          </w:tcPr>
          <w:p w14:paraId="463782DB">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《湖北省县域特色产业集群高质量发展实施方案》</w:t>
            </w:r>
          </w:p>
        </w:tc>
      </w:tr>
      <w:tr w14:paraId="1E1E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029CF3DD">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11</w:t>
            </w:r>
          </w:p>
        </w:tc>
        <w:tc>
          <w:tcPr>
            <w:tcW w:w="7840" w:type="dxa"/>
          </w:tcPr>
          <w:p w14:paraId="0A18D8F2">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《十堰市国民经济和社会发展第十四个五年规划和2035年远景目标纲要》</w:t>
            </w:r>
          </w:p>
        </w:tc>
      </w:tr>
      <w:tr w14:paraId="711E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542830DA">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12</w:t>
            </w:r>
          </w:p>
        </w:tc>
        <w:tc>
          <w:tcPr>
            <w:tcW w:w="7840" w:type="dxa"/>
          </w:tcPr>
          <w:p w14:paraId="5FDB389A">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《十堰市商务经济“十四五”发展规划》</w:t>
            </w:r>
          </w:p>
        </w:tc>
      </w:tr>
      <w:tr w14:paraId="26CF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4DDFB6D2">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13</w:t>
            </w:r>
          </w:p>
        </w:tc>
        <w:tc>
          <w:tcPr>
            <w:tcW w:w="7840" w:type="dxa"/>
          </w:tcPr>
          <w:p w14:paraId="00711B57">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《十堰市郧阳区国民经济和社会发展第十四个五年规划和2035年远景目标纲要》</w:t>
            </w:r>
          </w:p>
        </w:tc>
      </w:tr>
      <w:tr w14:paraId="1E34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5FD16024">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14</w:t>
            </w:r>
          </w:p>
        </w:tc>
        <w:tc>
          <w:tcPr>
            <w:tcW w:w="7840" w:type="dxa"/>
          </w:tcPr>
          <w:p w14:paraId="5461CA06">
            <w:pPr>
              <w:widowControl/>
              <w:spacing w:line="360" w:lineRule="auto"/>
              <w:jc w:val="left"/>
              <w:rPr>
                <w:rFonts w:ascii="宋体" w:hAnsi="宋体" w:eastAsia="宋体" w:cs="仿宋"/>
                <w:kern w:val="0"/>
                <w:sz w:val="24"/>
                <w:lang w:bidi="zh-CN"/>
              </w:rPr>
            </w:pPr>
            <w:r>
              <w:rPr>
                <w:rFonts w:ascii="宋体" w:hAnsi="宋体" w:eastAsia="宋体" w:cs="仿宋"/>
                <w:kern w:val="0"/>
                <w:sz w:val="24"/>
                <w:lang w:bidi="zh-CN"/>
              </w:rPr>
              <w:t>《郧阳区政府工作报告》</w:t>
            </w:r>
            <w:r>
              <w:rPr>
                <w:rFonts w:hint="eastAsia" w:ascii="宋体" w:hAnsi="宋体" w:eastAsia="宋体" w:cs="仿宋"/>
                <w:kern w:val="0"/>
                <w:sz w:val="24"/>
                <w:lang w:bidi="zh-CN"/>
              </w:rPr>
              <w:t>（2</w:t>
            </w:r>
            <w:r>
              <w:rPr>
                <w:rFonts w:ascii="宋体" w:hAnsi="宋体" w:eastAsia="宋体" w:cs="仿宋"/>
                <w:kern w:val="0"/>
                <w:sz w:val="24"/>
                <w:lang w:bidi="zh-CN"/>
              </w:rPr>
              <w:t>021</w:t>
            </w:r>
            <w:r>
              <w:rPr>
                <w:rFonts w:hint="eastAsia" w:ascii="宋体" w:hAnsi="宋体" w:eastAsia="宋体" w:cs="仿宋"/>
                <w:kern w:val="0"/>
                <w:sz w:val="24"/>
                <w:lang w:bidi="zh-CN"/>
              </w:rPr>
              <w:t>、2</w:t>
            </w:r>
            <w:r>
              <w:rPr>
                <w:rFonts w:ascii="宋体" w:hAnsi="宋体" w:eastAsia="宋体" w:cs="仿宋"/>
                <w:kern w:val="0"/>
                <w:sz w:val="24"/>
                <w:lang w:bidi="zh-CN"/>
              </w:rPr>
              <w:t>022</w:t>
            </w:r>
            <w:r>
              <w:rPr>
                <w:rFonts w:hint="eastAsia" w:ascii="宋体" w:hAnsi="宋体" w:eastAsia="宋体" w:cs="仿宋"/>
                <w:kern w:val="0"/>
                <w:sz w:val="24"/>
                <w:lang w:bidi="zh-CN"/>
              </w:rPr>
              <w:t>、2</w:t>
            </w:r>
            <w:r>
              <w:rPr>
                <w:rFonts w:ascii="宋体" w:hAnsi="宋体" w:eastAsia="宋体" w:cs="仿宋"/>
                <w:kern w:val="0"/>
                <w:sz w:val="24"/>
                <w:lang w:bidi="zh-CN"/>
              </w:rPr>
              <w:t>023</w:t>
            </w:r>
            <w:r>
              <w:rPr>
                <w:rFonts w:hint="eastAsia" w:ascii="宋体" w:hAnsi="宋体" w:eastAsia="宋体" w:cs="仿宋"/>
                <w:kern w:val="0"/>
                <w:sz w:val="24"/>
                <w:lang w:bidi="zh-CN"/>
              </w:rPr>
              <w:t>）</w:t>
            </w:r>
          </w:p>
        </w:tc>
      </w:tr>
    </w:tbl>
    <w:p w14:paraId="0956E5AA">
      <w:pPr>
        <w:rPr>
          <w:rFonts w:ascii="Times New Roman" w:hAnsi="Times New Roman" w:eastAsia="宋体" w:cs="Times New Roman"/>
          <w:sz w:val="24"/>
        </w:rPr>
      </w:pPr>
    </w:p>
    <w:p w14:paraId="738F6FDF"/>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MS Gothic">
    <w:panose1 w:val="020B0609070205080204"/>
    <w:charset w:val="80"/>
    <w:family w:val="modern"/>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696BA">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C75B1">
                          <w:pPr>
                            <w:pStyle w:val="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04C75B1">
                    <w:pPr>
                      <w:pStyle w:val="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RiN2EzOTIwNTFkMWRjYjlhM2M2MjEwMTAzOTAyMTAifQ=="/>
    <w:docVar w:name="KSO_WPS_MARK_KEY" w:val="64ecc03a-a46e-4713-960a-e5442b74f7d6"/>
  </w:docVars>
  <w:rsids>
    <w:rsidRoot w:val="00BD0AFE"/>
    <w:rsid w:val="000068D4"/>
    <w:rsid w:val="00010C80"/>
    <w:rsid w:val="00010F1B"/>
    <w:rsid w:val="00012B79"/>
    <w:rsid w:val="00012D4A"/>
    <w:rsid w:val="00017B35"/>
    <w:rsid w:val="00020913"/>
    <w:rsid w:val="00025EFE"/>
    <w:rsid w:val="00026627"/>
    <w:rsid w:val="00027CA9"/>
    <w:rsid w:val="00037142"/>
    <w:rsid w:val="000426D9"/>
    <w:rsid w:val="0006583D"/>
    <w:rsid w:val="00065CC7"/>
    <w:rsid w:val="0006645D"/>
    <w:rsid w:val="00072549"/>
    <w:rsid w:val="00072768"/>
    <w:rsid w:val="00077222"/>
    <w:rsid w:val="00077E8B"/>
    <w:rsid w:val="00081C54"/>
    <w:rsid w:val="00085E50"/>
    <w:rsid w:val="00090C7C"/>
    <w:rsid w:val="000B070E"/>
    <w:rsid w:val="000B73E7"/>
    <w:rsid w:val="000B765B"/>
    <w:rsid w:val="000C3C7C"/>
    <w:rsid w:val="000C53C9"/>
    <w:rsid w:val="000D10E8"/>
    <w:rsid w:val="000D4088"/>
    <w:rsid w:val="000D5906"/>
    <w:rsid w:val="000E0375"/>
    <w:rsid w:val="000E7F54"/>
    <w:rsid w:val="000F3486"/>
    <w:rsid w:val="000F3FF7"/>
    <w:rsid w:val="000F6C3F"/>
    <w:rsid w:val="000F7199"/>
    <w:rsid w:val="00100E79"/>
    <w:rsid w:val="001016E5"/>
    <w:rsid w:val="00102570"/>
    <w:rsid w:val="0010287C"/>
    <w:rsid w:val="00104D56"/>
    <w:rsid w:val="00110FEE"/>
    <w:rsid w:val="00117F94"/>
    <w:rsid w:val="00124159"/>
    <w:rsid w:val="00126542"/>
    <w:rsid w:val="00132FE2"/>
    <w:rsid w:val="00137A1C"/>
    <w:rsid w:val="00151BDE"/>
    <w:rsid w:val="00155AE4"/>
    <w:rsid w:val="00155F1E"/>
    <w:rsid w:val="00156AE3"/>
    <w:rsid w:val="00165BC1"/>
    <w:rsid w:val="001720A0"/>
    <w:rsid w:val="001720C4"/>
    <w:rsid w:val="00177561"/>
    <w:rsid w:val="001778AD"/>
    <w:rsid w:val="00177A08"/>
    <w:rsid w:val="00181F26"/>
    <w:rsid w:val="001853F4"/>
    <w:rsid w:val="00187511"/>
    <w:rsid w:val="001908CA"/>
    <w:rsid w:val="001924BD"/>
    <w:rsid w:val="00195434"/>
    <w:rsid w:val="001965FC"/>
    <w:rsid w:val="001A1747"/>
    <w:rsid w:val="001A344B"/>
    <w:rsid w:val="001A738E"/>
    <w:rsid w:val="001A7F2B"/>
    <w:rsid w:val="001B045A"/>
    <w:rsid w:val="001C3721"/>
    <w:rsid w:val="001D546E"/>
    <w:rsid w:val="001E45FD"/>
    <w:rsid w:val="001E461A"/>
    <w:rsid w:val="001F2C9E"/>
    <w:rsid w:val="001F2D40"/>
    <w:rsid w:val="001F3732"/>
    <w:rsid w:val="002020C7"/>
    <w:rsid w:val="00205712"/>
    <w:rsid w:val="00215460"/>
    <w:rsid w:val="0022220F"/>
    <w:rsid w:val="00223116"/>
    <w:rsid w:val="00225F16"/>
    <w:rsid w:val="0023294F"/>
    <w:rsid w:val="00232AAA"/>
    <w:rsid w:val="00243702"/>
    <w:rsid w:val="0024781D"/>
    <w:rsid w:val="00252C52"/>
    <w:rsid w:val="002550E0"/>
    <w:rsid w:val="00271590"/>
    <w:rsid w:val="002832E8"/>
    <w:rsid w:val="00291F36"/>
    <w:rsid w:val="00292247"/>
    <w:rsid w:val="00296863"/>
    <w:rsid w:val="002A01F2"/>
    <w:rsid w:val="002A1D1A"/>
    <w:rsid w:val="002A2CA6"/>
    <w:rsid w:val="002A37D0"/>
    <w:rsid w:val="002A5A76"/>
    <w:rsid w:val="002A63DF"/>
    <w:rsid w:val="002A7119"/>
    <w:rsid w:val="002B2B7A"/>
    <w:rsid w:val="002C0D1E"/>
    <w:rsid w:val="002C4C66"/>
    <w:rsid w:val="002C5B02"/>
    <w:rsid w:val="002C7152"/>
    <w:rsid w:val="002D1449"/>
    <w:rsid w:val="002D7381"/>
    <w:rsid w:val="002E0D8A"/>
    <w:rsid w:val="002E2D9E"/>
    <w:rsid w:val="002E79DD"/>
    <w:rsid w:val="002F001D"/>
    <w:rsid w:val="002F407C"/>
    <w:rsid w:val="002F4200"/>
    <w:rsid w:val="002F4DDF"/>
    <w:rsid w:val="002F5AEC"/>
    <w:rsid w:val="00313700"/>
    <w:rsid w:val="0031699D"/>
    <w:rsid w:val="00317337"/>
    <w:rsid w:val="003207C6"/>
    <w:rsid w:val="003220A1"/>
    <w:rsid w:val="003265E2"/>
    <w:rsid w:val="003279F6"/>
    <w:rsid w:val="00341F93"/>
    <w:rsid w:val="00350CC7"/>
    <w:rsid w:val="00350F78"/>
    <w:rsid w:val="00351926"/>
    <w:rsid w:val="003532D2"/>
    <w:rsid w:val="003557FE"/>
    <w:rsid w:val="003575CB"/>
    <w:rsid w:val="00357E5D"/>
    <w:rsid w:val="00361236"/>
    <w:rsid w:val="00386838"/>
    <w:rsid w:val="003A15C3"/>
    <w:rsid w:val="003A2478"/>
    <w:rsid w:val="003A28F5"/>
    <w:rsid w:val="003A5C27"/>
    <w:rsid w:val="003A785D"/>
    <w:rsid w:val="003C21AB"/>
    <w:rsid w:val="003D3D81"/>
    <w:rsid w:val="003D6FB4"/>
    <w:rsid w:val="003D7130"/>
    <w:rsid w:val="003E47F2"/>
    <w:rsid w:val="003F30CB"/>
    <w:rsid w:val="003F46E7"/>
    <w:rsid w:val="003F487D"/>
    <w:rsid w:val="004009D7"/>
    <w:rsid w:val="00402385"/>
    <w:rsid w:val="00407DBD"/>
    <w:rsid w:val="00410835"/>
    <w:rsid w:val="00412C27"/>
    <w:rsid w:val="00421E53"/>
    <w:rsid w:val="004403A7"/>
    <w:rsid w:val="00446742"/>
    <w:rsid w:val="0044740C"/>
    <w:rsid w:val="00447744"/>
    <w:rsid w:val="00451E03"/>
    <w:rsid w:val="00462CB0"/>
    <w:rsid w:val="00463D05"/>
    <w:rsid w:val="0046507F"/>
    <w:rsid w:val="00471C65"/>
    <w:rsid w:val="00484265"/>
    <w:rsid w:val="004863AC"/>
    <w:rsid w:val="0049100B"/>
    <w:rsid w:val="00494D47"/>
    <w:rsid w:val="004A6D0A"/>
    <w:rsid w:val="004A7F7C"/>
    <w:rsid w:val="004B0A18"/>
    <w:rsid w:val="004B0D62"/>
    <w:rsid w:val="004B2192"/>
    <w:rsid w:val="004B2538"/>
    <w:rsid w:val="004B32E1"/>
    <w:rsid w:val="004B3C23"/>
    <w:rsid w:val="004B6894"/>
    <w:rsid w:val="004C106E"/>
    <w:rsid w:val="004C193F"/>
    <w:rsid w:val="004C6CB3"/>
    <w:rsid w:val="004C7924"/>
    <w:rsid w:val="004D2870"/>
    <w:rsid w:val="004D6D84"/>
    <w:rsid w:val="004E068B"/>
    <w:rsid w:val="004E59F1"/>
    <w:rsid w:val="004F0E62"/>
    <w:rsid w:val="004F1251"/>
    <w:rsid w:val="004F1815"/>
    <w:rsid w:val="004F42FE"/>
    <w:rsid w:val="00502A17"/>
    <w:rsid w:val="00503126"/>
    <w:rsid w:val="00507C11"/>
    <w:rsid w:val="00514E59"/>
    <w:rsid w:val="00517EA4"/>
    <w:rsid w:val="0052246D"/>
    <w:rsid w:val="00542690"/>
    <w:rsid w:val="00542AA9"/>
    <w:rsid w:val="005454DF"/>
    <w:rsid w:val="0054563D"/>
    <w:rsid w:val="00562142"/>
    <w:rsid w:val="005638F3"/>
    <w:rsid w:val="00564FA9"/>
    <w:rsid w:val="005679EC"/>
    <w:rsid w:val="00575CA1"/>
    <w:rsid w:val="00576414"/>
    <w:rsid w:val="00577C97"/>
    <w:rsid w:val="00583149"/>
    <w:rsid w:val="0058369D"/>
    <w:rsid w:val="00585CAE"/>
    <w:rsid w:val="005927B2"/>
    <w:rsid w:val="00592BE7"/>
    <w:rsid w:val="00595AAE"/>
    <w:rsid w:val="0059758D"/>
    <w:rsid w:val="005A3BD2"/>
    <w:rsid w:val="005A61F2"/>
    <w:rsid w:val="005B094D"/>
    <w:rsid w:val="005B3F1D"/>
    <w:rsid w:val="005B4F76"/>
    <w:rsid w:val="005B7AB0"/>
    <w:rsid w:val="005C10FA"/>
    <w:rsid w:val="005C46C7"/>
    <w:rsid w:val="005D2999"/>
    <w:rsid w:val="005D3DF5"/>
    <w:rsid w:val="005D55D6"/>
    <w:rsid w:val="005E03C3"/>
    <w:rsid w:val="005F0936"/>
    <w:rsid w:val="005F24FE"/>
    <w:rsid w:val="005F62D0"/>
    <w:rsid w:val="005F7292"/>
    <w:rsid w:val="006117BF"/>
    <w:rsid w:val="0062164E"/>
    <w:rsid w:val="00626661"/>
    <w:rsid w:val="0063093F"/>
    <w:rsid w:val="00633CC5"/>
    <w:rsid w:val="006345B4"/>
    <w:rsid w:val="006359A2"/>
    <w:rsid w:val="0063775C"/>
    <w:rsid w:val="00642FA2"/>
    <w:rsid w:val="006433A5"/>
    <w:rsid w:val="006450F2"/>
    <w:rsid w:val="00645A90"/>
    <w:rsid w:val="0065295E"/>
    <w:rsid w:val="006555CD"/>
    <w:rsid w:val="00665ACE"/>
    <w:rsid w:val="00680031"/>
    <w:rsid w:val="0068067D"/>
    <w:rsid w:val="00681A61"/>
    <w:rsid w:val="006866CD"/>
    <w:rsid w:val="00686EA7"/>
    <w:rsid w:val="00694C37"/>
    <w:rsid w:val="00696594"/>
    <w:rsid w:val="006A0EFD"/>
    <w:rsid w:val="006A19AE"/>
    <w:rsid w:val="006A411C"/>
    <w:rsid w:val="006A5754"/>
    <w:rsid w:val="006A5B0F"/>
    <w:rsid w:val="006B4161"/>
    <w:rsid w:val="006B68E8"/>
    <w:rsid w:val="006B6D1C"/>
    <w:rsid w:val="006C4D5F"/>
    <w:rsid w:val="006D7591"/>
    <w:rsid w:val="006E06E3"/>
    <w:rsid w:val="006E18E1"/>
    <w:rsid w:val="006E445B"/>
    <w:rsid w:val="006E682D"/>
    <w:rsid w:val="006F3212"/>
    <w:rsid w:val="006F3A81"/>
    <w:rsid w:val="006F5F82"/>
    <w:rsid w:val="006F675D"/>
    <w:rsid w:val="00703E23"/>
    <w:rsid w:val="007100C8"/>
    <w:rsid w:val="00710736"/>
    <w:rsid w:val="00710FB6"/>
    <w:rsid w:val="00715307"/>
    <w:rsid w:val="007275B9"/>
    <w:rsid w:val="00730F4B"/>
    <w:rsid w:val="007317D4"/>
    <w:rsid w:val="0073297A"/>
    <w:rsid w:val="00733DB2"/>
    <w:rsid w:val="00751550"/>
    <w:rsid w:val="007548BF"/>
    <w:rsid w:val="0076144C"/>
    <w:rsid w:val="00763DAF"/>
    <w:rsid w:val="00776C55"/>
    <w:rsid w:val="00786850"/>
    <w:rsid w:val="007869DC"/>
    <w:rsid w:val="00787FDB"/>
    <w:rsid w:val="00793EF8"/>
    <w:rsid w:val="007947A5"/>
    <w:rsid w:val="007966FA"/>
    <w:rsid w:val="007A1B99"/>
    <w:rsid w:val="007A1CEB"/>
    <w:rsid w:val="007A586A"/>
    <w:rsid w:val="007B3804"/>
    <w:rsid w:val="007B5F50"/>
    <w:rsid w:val="007B745C"/>
    <w:rsid w:val="007C55F5"/>
    <w:rsid w:val="007D148C"/>
    <w:rsid w:val="007D30B7"/>
    <w:rsid w:val="007E0FCD"/>
    <w:rsid w:val="007F003B"/>
    <w:rsid w:val="007F0D46"/>
    <w:rsid w:val="007F1D9B"/>
    <w:rsid w:val="007F312E"/>
    <w:rsid w:val="007F43EB"/>
    <w:rsid w:val="008201DC"/>
    <w:rsid w:val="0082233F"/>
    <w:rsid w:val="00830284"/>
    <w:rsid w:val="00832E56"/>
    <w:rsid w:val="008340AD"/>
    <w:rsid w:val="00837761"/>
    <w:rsid w:val="0085705D"/>
    <w:rsid w:val="008807CE"/>
    <w:rsid w:val="00894EFC"/>
    <w:rsid w:val="00895204"/>
    <w:rsid w:val="008B0A4E"/>
    <w:rsid w:val="008B1E96"/>
    <w:rsid w:val="008C04E6"/>
    <w:rsid w:val="008C166F"/>
    <w:rsid w:val="008C2F79"/>
    <w:rsid w:val="008C3349"/>
    <w:rsid w:val="008C4357"/>
    <w:rsid w:val="008D1DF0"/>
    <w:rsid w:val="008D4110"/>
    <w:rsid w:val="008D41B5"/>
    <w:rsid w:val="008E1098"/>
    <w:rsid w:val="008E3739"/>
    <w:rsid w:val="008F22C0"/>
    <w:rsid w:val="008F3CA6"/>
    <w:rsid w:val="008F5D3E"/>
    <w:rsid w:val="008F62E3"/>
    <w:rsid w:val="008F7BAA"/>
    <w:rsid w:val="009055CF"/>
    <w:rsid w:val="009058CB"/>
    <w:rsid w:val="00905C84"/>
    <w:rsid w:val="00905D06"/>
    <w:rsid w:val="00906720"/>
    <w:rsid w:val="009135F0"/>
    <w:rsid w:val="00915D27"/>
    <w:rsid w:val="00926154"/>
    <w:rsid w:val="0092783F"/>
    <w:rsid w:val="00940DE8"/>
    <w:rsid w:val="00942607"/>
    <w:rsid w:val="009445D9"/>
    <w:rsid w:val="00945943"/>
    <w:rsid w:val="00950215"/>
    <w:rsid w:val="00957175"/>
    <w:rsid w:val="009610C1"/>
    <w:rsid w:val="00966323"/>
    <w:rsid w:val="00966C1A"/>
    <w:rsid w:val="009722D7"/>
    <w:rsid w:val="00976109"/>
    <w:rsid w:val="0097675C"/>
    <w:rsid w:val="00981DC2"/>
    <w:rsid w:val="0098428F"/>
    <w:rsid w:val="00995AAB"/>
    <w:rsid w:val="009A4EB2"/>
    <w:rsid w:val="009B1F59"/>
    <w:rsid w:val="009B423D"/>
    <w:rsid w:val="009B6AC6"/>
    <w:rsid w:val="009C4305"/>
    <w:rsid w:val="009D0F2A"/>
    <w:rsid w:val="009D6753"/>
    <w:rsid w:val="009D7F54"/>
    <w:rsid w:val="009E0B96"/>
    <w:rsid w:val="009E54EA"/>
    <w:rsid w:val="009F47AC"/>
    <w:rsid w:val="009F4991"/>
    <w:rsid w:val="009F5E12"/>
    <w:rsid w:val="009F6A99"/>
    <w:rsid w:val="00A03A2F"/>
    <w:rsid w:val="00A124E7"/>
    <w:rsid w:val="00A15E38"/>
    <w:rsid w:val="00A169C4"/>
    <w:rsid w:val="00A227AF"/>
    <w:rsid w:val="00A23EF6"/>
    <w:rsid w:val="00A264D6"/>
    <w:rsid w:val="00A26D3D"/>
    <w:rsid w:val="00A27778"/>
    <w:rsid w:val="00A35D74"/>
    <w:rsid w:val="00A45C75"/>
    <w:rsid w:val="00A45E29"/>
    <w:rsid w:val="00A569D9"/>
    <w:rsid w:val="00A6138A"/>
    <w:rsid w:val="00A618F1"/>
    <w:rsid w:val="00A61B15"/>
    <w:rsid w:val="00A64AA9"/>
    <w:rsid w:val="00A80353"/>
    <w:rsid w:val="00A80BE5"/>
    <w:rsid w:val="00A9366A"/>
    <w:rsid w:val="00A95F63"/>
    <w:rsid w:val="00A969EF"/>
    <w:rsid w:val="00A97266"/>
    <w:rsid w:val="00AA1207"/>
    <w:rsid w:val="00AA5C1E"/>
    <w:rsid w:val="00AB2F01"/>
    <w:rsid w:val="00AB4F4B"/>
    <w:rsid w:val="00AC3554"/>
    <w:rsid w:val="00AC4068"/>
    <w:rsid w:val="00AC676D"/>
    <w:rsid w:val="00AC77D6"/>
    <w:rsid w:val="00AE0532"/>
    <w:rsid w:val="00AE219C"/>
    <w:rsid w:val="00AE2822"/>
    <w:rsid w:val="00AE4AFC"/>
    <w:rsid w:val="00AF1110"/>
    <w:rsid w:val="00AF16A4"/>
    <w:rsid w:val="00AF4445"/>
    <w:rsid w:val="00AF72C6"/>
    <w:rsid w:val="00B012C0"/>
    <w:rsid w:val="00B0416E"/>
    <w:rsid w:val="00B11DFD"/>
    <w:rsid w:val="00B1212F"/>
    <w:rsid w:val="00B12198"/>
    <w:rsid w:val="00B13B24"/>
    <w:rsid w:val="00B14237"/>
    <w:rsid w:val="00B1668A"/>
    <w:rsid w:val="00B22045"/>
    <w:rsid w:val="00B22D09"/>
    <w:rsid w:val="00B23931"/>
    <w:rsid w:val="00B275DF"/>
    <w:rsid w:val="00B35D29"/>
    <w:rsid w:val="00B36BB9"/>
    <w:rsid w:val="00B42AA0"/>
    <w:rsid w:val="00B4425F"/>
    <w:rsid w:val="00B44C2F"/>
    <w:rsid w:val="00B504F9"/>
    <w:rsid w:val="00B61840"/>
    <w:rsid w:val="00B71344"/>
    <w:rsid w:val="00B94254"/>
    <w:rsid w:val="00B96628"/>
    <w:rsid w:val="00B97803"/>
    <w:rsid w:val="00B97E94"/>
    <w:rsid w:val="00BA0AFE"/>
    <w:rsid w:val="00BB1376"/>
    <w:rsid w:val="00BB4686"/>
    <w:rsid w:val="00BC0CE2"/>
    <w:rsid w:val="00BC1678"/>
    <w:rsid w:val="00BC2F7C"/>
    <w:rsid w:val="00BD0AFE"/>
    <w:rsid w:val="00BD45EA"/>
    <w:rsid w:val="00BD58EF"/>
    <w:rsid w:val="00BD62D1"/>
    <w:rsid w:val="00BE0FCA"/>
    <w:rsid w:val="00BF73AC"/>
    <w:rsid w:val="00BF7B7E"/>
    <w:rsid w:val="00C00999"/>
    <w:rsid w:val="00C062F9"/>
    <w:rsid w:val="00C16BEF"/>
    <w:rsid w:val="00C21251"/>
    <w:rsid w:val="00C22207"/>
    <w:rsid w:val="00C22BCC"/>
    <w:rsid w:val="00C368A0"/>
    <w:rsid w:val="00C44D7E"/>
    <w:rsid w:val="00C454D1"/>
    <w:rsid w:val="00C5111A"/>
    <w:rsid w:val="00C5185F"/>
    <w:rsid w:val="00C609AD"/>
    <w:rsid w:val="00C61176"/>
    <w:rsid w:val="00C6175B"/>
    <w:rsid w:val="00C62156"/>
    <w:rsid w:val="00C72765"/>
    <w:rsid w:val="00C72D33"/>
    <w:rsid w:val="00C74A07"/>
    <w:rsid w:val="00C81B66"/>
    <w:rsid w:val="00C879DA"/>
    <w:rsid w:val="00CB7105"/>
    <w:rsid w:val="00CC187C"/>
    <w:rsid w:val="00CC2978"/>
    <w:rsid w:val="00CC2EA7"/>
    <w:rsid w:val="00CC45B9"/>
    <w:rsid w:val="00CC6A26"/>
    <w:rsid w:val="00CD2CEE"/>
    <w:rsid w:val="00CD43F3"/>
    <w:rsid w:val="00CE093A"/>
    <w:rsid w:val="00CE4A32"/>
    <w:rsid w:val="00CE5DF5"/>
    <w:rsid w:val="00CE754F"/>
    <w:rsid w:val="00CF2E24"/>
    <w:rsid w:val="00CF31FA"/>
    <w:rsid w:val="00CF64F0"/>
    <w:rsid w:val="00D0311D"/>
    <w:rsid w:val="00D05A51"/>
    <w:rsid w:val="00D0645F"/>
    <w:rsid w:val="00D07960"/>
    <w:rsid w:val="00D217AC"/>
    <w:rsid w:val="00D249BD"/>
    <w:rsid w:val="00D36807"/>
    <w:rsid w:val="00D373F6"/>
    <w:rsid w:val="00D4039D"/>
    <w:rsid w:val="00D43135"/>
    <w:rsid w:val="00D51E80"/>
    <w:rsid w:val="00D533A7"/>
    <w:rsid w:val="00D5603E"/>
    <w:rsid w:val="00D71154"/>
    <w:rsid w:val="00D7275E"/>
    <w:rsid w:val="00D74663"/>
    <w:rsid w:val="00D74F61"/>
    <w:rsid w:val="00D77376"/>
    <w:rsid w:val="00D852EF"/>
    <w:rsid w:val="00D8598E"/>
    <w:rsid w:val="00D86D39"/>
    <w:rsid w:val="00D91F6A"/>
    <w:rsid w:val="00D92C53"/>
    <w:rsid w:val="00D93A56"/>
    <w:rsid w:val="00D9753C"/>
    <w:rsid w:val="00DA002E"/>
    <w:rsid w:val="00DA2B88"/>
    <w:rsid w:val="00DB522D"/>
    <w:rsid w:val="00DB7E5B"/>
    <w:rsid w:val="00DC3E17"/>
    <w:rsid w:val="00DC71B5"/>
    <w:rsid w:val="00DD0A03"/>
    <w:rsid w:val="00DD372C"/>
    <w:rsid w:val="00DD7B4F"/>
    <w:rsid w:val="00DE0112"/>
    <w:rsid w:val="00DE592A"/>
    <w:rsid w:val="00DF25AF"/>
    <w:rsid w:val="00DF2C7B"/>
    <w:rsid w:val="00DF7D52"/>
    <w:rsid w:val="00E02E75"/>
    <w:rsid w:val="00E173F3"/>
    <w:rsid w:val="00E20954"/>
    <w:rsid w:val="00E23DFE"/>
    <w:rsid w:val="00E23FDE"/>
    <w:rsid w:val="00E30079"/>
    <w:rsid w:val="00E333C1"/>
    <w:rsid w:val="00E363C6"/>
    <w:rsid w:val="00E373EA"/>
    <w:rsid w:val="00E376BA"/>
    <w:rsid w:val="00E5445F"/>
    <w:rsid w:val="00E5523C"/>
    <w:rsid w:val="00E62A37"/>
    <w:rsid w:val="00E83AA6"/>
    <w:rsid w:val="00E872F5"/>
    <w:rsid w:val="00E975BA"/>
    <w:rsid w:val="00EA0333"/>
    <w:rsid w:val="00EA26A9"/>
    <w:rsid w:val="00EA4C16"/>
    <w:rsid w:val="00EB3AE9"/>
    <w:rsid w:val="00EC06DE"/>
    <w:rsid w:val="00EC4FCD"/>
    <w:rsid w:val="00EC60E4"/>
    <w:rsid w:val="00ED4F92"/>
    <w:rsid w:val="00EE1ADE"/>
    <w:rsid w:val="00EE54C7"/>
    <w:rsid w:val="00F013B4"/>
    <w:rsid w:val="00F02DD7"/>
    <w:rsid w:val="00F12223"/>
    <w:rsid w:val="00F17588"/>
    <w:rsid w:val="00F26638"/>
    <w:rsid w:val="00F353F0"/>
    <w:rsid w:val="00F357DD"/>
    <w:rsid w:val="00F37690"/>
    <w:rsid w:val="00F37EF7"/>
    <w:rsid w:val="00F42212"/>
    <w:rsid w:val="00F50C39"/>
    <w:rsid w:val="00F571DE"/>
    <w:rsid w:val="00F6520A"/>
    <w:rsid w:val="00F6657B"/>
    <w:rsid w:val="00F67490"/>
    <w:rsid w:val="00F73E25"/>
    <w:rsid w:val="00F80E96"/>
    <w:rsid w:val="00F82277"/>
    <w:rsid w:val="00F83576"/>
    <w:rsid w:val="00F90C4D"/>
    <w:rsid w:val="00F940DA"/>
    <w:rsid w:val="00FA55C3"/>
    <w:rsid w:val="00FB0386"/>
    <w:rsid w:val="00FB2490"/>
    <w:rsid w:val="00FB7ABD"/>
    <w:rsid w:val="00FD0E1C"/>
    <w:rsid w:val="00FD7C5C"/>
    <w:rsid w:val="00FD7F81"/>
    <w:rsid w:val="00FE684F"/>
    <w:rsid w:val="00FF273E"/>
    <w:rsid w:val="00FF445D"/>
    <w:rsid w:val="00FF4766"/>
    <w:rsid w:val="027F6AB2"/>
    <w:rsid w:val="02F1149A"/>
    <w:rsid w:val="03066EFD"/>
    <w:rsid w:val="03305AA7"/>
    <w:rsid w:val="03384AC7"/>
    <w:rsid w:val="04603CEA"/>
    <w:rsid w:val="06013CCC"/>
    <w:rsid w:val="065268A8"/>
    <w:rsid w:val="07152108"/>
    <w:rsid w:val="083A5B51"/>
    <w:rsid w:val="093C74AB"/>
    <w:rsid w:val="099E10F1"/>
    <w:rsid w:val="0B624377"/>
    <w:rsid w:val="0C9A4AE0"/>
    <w:rsid w:val="0FE34E39"/>
    <w:rsid w:val="10FF4483"/>
    <w:rsid w:val="11400ABC"/>
    <w:rsid w:val="133D3E1D"/>
    <w:rsid w:val="16501772"/>
    <w:rsid w:val="18640BD9"/>
    <w:rsid w:val="18C5359F"/>
    <w:rsid w:val="19F57468"/>
    <w:rsid w:val="1A4F2DB6"/>
    <w:rsid w:val="1B3A75C2"/>
    <w:rsid w:val="1B8530FC"/>
    <w:rsid w:val="1C1222ED"/>
    <w:rsid w:val="1CA822C0"/>
    <w:rsid w:val="1DB16E81"/>
    <w:rsid w:val="1E4571F5"/>
    <w:rsid w:val="1EA843DA"/>
    <w:rsid w:val="1FD60202"/>
    <w:rsid w:val="22B61C24"/>
    <w:rsid w:val="22DB51CC"/>
    <w:rsid w:val="22FC2701"/>
    <w:rsid w:val="2458078C"/>
    <w:rsid w:val="27B8767E"/>
    <w:rsid w:val="27FC6050"/>
    <w:rsid w:val="28471405"/>
    <w:rsid w:val="2A621CAC"/>
    <w:rsid w:val="2B3E1C9A"/>
    <w:rsid w:val="2DBA338D"/>
    <w:rsid w:val="2E152D74"/>
    <w:rsid w:val="2EAB0C41"/>
    <w:rsid w:val="2EDA6C9B"/>
    <w:rsid w:val="30F77A1A"/>
    <w:rsid w:val="3112096E"/>
    <w:rsid w:val="31501496"/>
    <w:rsid w:val="32A94EBB"/>
    <w:rsid w:val="335354DD"/>
    <w:rsid w:val="33686A93"/>
    <w:rsid w:val="341E3ACD"/>
    <w:rsid w:val="34D61B31"/>
    <w:rsid w:val="35012429"/>
    <w:rsid w:val="35F86D56"/>
    <w:rsid w:val="374D3D74"/>
    <w:rsid w:val="37A663FD"/>
    <w:rsid w:val="386325CE"/>
    <w:rsid w:val="393E2C83"/>
    <w:rsid w:val="39A52F68"/>
    <w:rsid w:val="39A719C6"/>
    <w:rsid w:val="3BE13EE5"/>
    <w:rsid w:val="3FCB4947"/>
    <w:rsid w:val="463B1362"/>
    <w:rsid w:val="4803498B"/>
    <w:rsid w:val="488A0E15"/>
    <w:rsid w:val="491014BD"/>
    <w:rsid w:val="49D56585"/>
    <w:rsid w:val="4A5D4EF8"/>
    <w:rsid w:val="4D7C49EC"/>
    <w:rsid w:val="4DB033DB"/>
    <w:rsid w:val="4F7C5E20"/>
    <w:rsid w:val="50E71E9B"/>
    <w:rsid w:val="51E65DE1"/>
    <w:rsid w:val="52594985"/>
    <w:rsid w:val="52885E91"/>
    <w:rsid w:val="54AC5CCF"/>
    <w:rsid w:val="57824C0A"/>
    <w:rsid w:val="578E6443"/>
    <w:rsid w:val="57B819BF"/>
    <w:rsid w:val="5AC971C2"/>
    <w:rsid w:val="5C0C536E"/>
    <w:rsid w:val="5C686B39"/>
    <w:rsid w:val="5D7D4F59"/>
    <w:rsid w:val="5E760271"/>
    <w:rsid w:val="5FF32836"/>
    <w:rsid w:val="605E5DA3"/>
    <w:rsid w:val="60D912F1"/>
    <w:rsid w:val="6107228E"/>
    <w:rsid w:val="62D02037"/>
    <w:rsid w:val="62F4617B"/>
    <w:rsid w:val="641336CD"/>
    <w:rsid w:val="65BE43F6"/>
    <w:rsid w:val="67A05FCC"/>
    <w:rsid w:val="67F105D6"/>
    <w:rsid w:val="68054B0A"/>
    <w:rsid w:val="685017A0"/>
    <w:rsid w:val="68A16184"/>
    <w:rsid w:val="68CC76BD"/>
    <w:rsid w:val="69FA1125"/>
    <w:rsid w:val="6AE64B81"/>
    <w:rsid w:val="6DEC0D72"/>
    <w:rsid w:val="6EAE5472"/>
    <w:rsid w:val="6F3C5414"/>
    <w:rsid w:val="70310109"/>
    <w:rsid w:val="71A70E60"/>
    <w:rsid w:val="721F0F53"/>
    <w:rsid w:val="740D2EC8"/>
    <w:rsid w:val="74B12008"/>
    <w:rsid w:val="74BB61F3"/>
    <w:rsid w:val="79827C8F"/>
    <w:rsid w:val="7A9F011F"/>
    <w:rsid w:val="7B0D0296"/>
    <w:rsid w:val="7CE704CD"/>
    <w:rsid w:val="7D252DA4"/>
    <w:rsid w:val="7D796129"/>
    <w:rsid w:val="7E3D7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7"/>
    <w:semiHidden/>
    <w:unhideWhenUsed/>
    <w:qFormat/>
    <w:uiPriority w:val="99"/>
    <w:pPr>
      <w:jc w:val="left"/>
    </w:pPr>
  </w:style>
  <w:style w:type="paragraph" w:styleId="6">
    <w:name w:val="Body Text"/>
    <w:basedOn w:val="1"/>
    <w:qFormat/>
    <w:uiPriority w:val="1"/>
    <w:pPr>
      <w:ind w:left="220"/>
    </w:pPr>
    <w:rPr>
      <w:rFonts w:ascii="仿宋" w:hAnsi="仿宋" w:eastAsia="仿宋" w:cs="仿宋"/>
      <w:sz w:val="32"/>
      <w:szCs w:val="32"/>
      <w:lang w:val="zh-CN" w:bidi="zh-CN"/>
    </w:rPr>
  </w:style>
  <w:style w:type="paragraph" w:styleId="7">
    <w:name w:val="Balloon Text"/>
    <w:basedOn w:val="1"/>
    <w:link w:val="29"/>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99"/>
    <w:pPr>
      <w:spacing w:beforeAutospacing="1" w:afterAutospacing="1"/>
      <w:jc w:val="left"/>
    </w:pPr>
    <w:rPr>
      <w:rFonts w:cs="Times New Roman"/>
      <w:kern w:val="0"/>
      <w:sz w:val="24"/>
    </w:rPr>
  </w:style>
  <w:style w:type="paragraph" w:styleId="13">
    <w:name w:val="Title"/>
    <w:next w:val="1"/>
    <w:qFormat/>
    <w:uiPriority w:val="99"/>
    <w:pPr>
      <w:widowControl w:val="0"/>
      <w:spacing w:before="240" w:after="60"/>
      <w:jc w:val="center"/>
      <w:outlineLvl w:val="0"/>
    </w:pPr>
    <w:rPr>
      <w:rFonts w:ascii="Arial" w:hAnsi="Arial" w:cs="Arial" w:eastAsiaTheme="minorEastAsia"/>
      <w:b/>
      <w:bCs/>
      <w:kern w:val="2"/>
      <w:sz w:val="32"/>
      <w:szCs w:val="32"/>
      <w:lang w:val="en-US" w:eastAsia="zh-CN" w:bidi="ar-SA"/>
    </w:rPr>
  </w:style>
  <w:style w:type="paragraph" w:styleId="14">
    <w:name w:val="annotation subject"/>
    <w:basedOn w:val="5"/>
    <w:next w:val="5"/>
    <w:link w:val="28"/>
    <w:qFormat/>
    <w:uiPriority w:val="0"/>
    <w:rPr>
      <w:b/>
      <w:bCs/>
    </w:rPr>
  </w:style>
  <w:style w:type="table" w:styleId="16">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8">
    <w:name w:val="Strong"/>
    <w:basedOn w:val="17"/>
    <w:qFormat/>
    <w:uiPriority w:val="22"/>
    <w:rPr>
      <w:b/>
    </w:rPr>
  </w:style>
  <w:style w:type="character" w:styleId="19">
    <w:name w:val="Emphasis"/>
    <w:basedOn w:val="17"/>
    <w:qFormat/>
    <w:uiPriority w:val="20"/>
    <w:rPr>
      <w:i/>
      <w:iCs/>
    </w:rPr>
  </w:style>
  <w:style w:type="character" w:styleId="20">
    <w:name w:val="Hyperlink"/>
    <w:basedOn w:val="17"/>
    <w:unhideWhenUsed/>
    <w:qFormat/>
    <w:uiPriority w:val="99"/>
    <w:rPr>
      <w:color w:val="0000FF"/>
      <w:u w:val="single"/>
    </w:rPr>
  </w:style>
  <w:style w:type="character" w:styleId="21">
    <w:name w:val="annotation reference"/>
    <w:basedOn w:val="17"/>
    <w:qFormat/>
    <w:uiPriority w:val="0"/>
    <w:rPr>
      <w:sz w:val="21"/>
      <w:szCs w:val="21"/>
    </w:rPr>
  </w:style>
  <w:style w:type="paragraph" w:customStyle="1" w:styleId="22">
    <w:name w:val="21bc9c4b-6a32-43e5-beaa-fd2d792c5735"/>
    <w:next w:val="23"/>
    <w:qFormat/>
    <w:uiPriority w:val="0"/>
    <w:pPr>
      <w:keepNext/>
      <w:keepLines/>
      <w:adjustRightInd w:val="0"/>
      <w:spacing w:line="288" w:lineRule="auto"/>
      <w:outlineLvl w:val="0"/>
    </w:pPr>
    <w:rPr>
      <w:rFonts w:ascii="微软雅黑" w:hAnsi="微软雅黑" w:eastAsia="微软雅黑" w:cs="Times New Roman"/>
      <w:b/>
      <w:color w:val="000000"/>
      <w:sz w:val="32"/>
      <w:szCs w:val="32"/>
      <w:lang w:val="en-US" w:eastAsia="zh-CN" w:bidi="ar-SA"/>
    </w:rPr>
  </w:style>
  <w:style w:type="paragraph" w:customStyle="1" w:styleId="23">
    <w:name w:val="acbfdd8b-e11b-4d36-88ff-6049b138f862"/>
    <w:qFormat/>
    <w:uiPriority w:val="0"/>
    <w:pPr>
      <w:adjustRightInd w:val="0"/>
      <w:spacing w:line="288" w:lineRule="auto"/>
    </w:pPr>
    <w:rPr>
      <w:rFonts w:ascii="微软雅黑" w:hAnsi="微软雅黑" w:eastAsia="微软雅黑" w:cs="Times New Roman"/>
      <w:bCs/>
      <w:color w:val="000000"/>
      <w:sz w:val="22"/>
      <w:szCs w:val="32"/>
      <w:lang w:val="en-US" w:eastAsia="zh-CN" w:bidi="ar-SA"/>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Table Paragraph"/>
    <w:basedOn w:val="1"/>
    <w:qFormat/>
    <w:uiPriority w:val="1"/>
    <w:pPr>
      <w:jc w:val="center"/>
    </w:pPr>
    <w:rPr>
      <w:rFonts w:ascii="仿宋" w:hAnsi="仿宋" w:eastAsia="仿宋" w:cs="仿宋"/>
      <w:lang w:val="zh-CN" w:bidi="zh-CN"/>
    </w:rPr>
  </w:style>
  <w:style w:type="character" w:customStyle="1" w:styleId="27">
    <w:name w:val="批注文字 字符"/>
    <w:basedOn w:val="17"/>
    <w:link w:val="5"/>
    <w:semiHidden/>
    <w:qFormat/>
    <w:uiPriority w:val="99"/>
    <w:rPr>
      <w:rFonts w:asciiTheme="minorHAnsi" w:hAnsiTheme="minorHAnsi" w:eastAsiaTheme="minorEastAsia" w:cstheme="minorBidi"/>
      <w:kern w:val="2"/>
      <w:sz w:val="21"/>
      <w:szCs w:val="24"/>
    </w:rPr>
  </w:style>
  <w:style w:type="character" w:customStyle="1" w:styleId="28">
    <w:name w:val="批注主题 字符"/>
    <w:basedOn w:val="27"/>
    <w:link w:val="14"/>
    <w:qFormat/>
    <w:uiPriority w:val="0"/>
    <w:rPr>
      <w:rFonts w:asciiTheme="minorHAnsi" w:hAnsiTheme="minorHAnsi" w:eastAsiaTheme="minorEastAsia" w:cstheme="minorBidi"/>
      <w:b/>
      <w:bCs/>
      <w:kern w:val="2"/>
      <w:sz w:val="21"/>
      <w:szCs w:val="24"/>
    </w:rPr>
  </w:style>
  <w:style w:type="character" w:customStyle="1" w:styleId="29">
    <w:name w:val="批注框文本 字符"/>
    <w:basedOn w:val="17"/>
    <w:link w:val="7"/>
    <w:qFormat/>
    <w:uiPriority w:val="0"/>
    <w:rPr>
      <w:rFonts w:asciiTheme="minorHAnsi" w:hAnsiTheme="minorHAnsi" w:eastAsiaTheme="minorEastAsia" w:cstheme="minorBidi"/>
      <w:kern w:val="2"/>
      <w:sz w:val="18"/>
      <w:szCs w:val="18"/>
    </w:rPr>
  </w:style>
  <w:style w:type="character" w:customStyle="1" w:styleId="30">
    <w:name w:val="15"/>
    <w:basedOn w:val="17"/>
    <w:qFormat/>
    <w:uiPriority w:val="0"/>
    <w:rPr>
      <w:rFonts w:hint="default" w:ascii="Times New Roman" w:hAnsi="Times New Roman" w:cs="Times New Roman"/>
      <w:sz w:val="21"/>
      <w:szCs w:val="21"/>
    </w:rPr>
  </w:style>
  <w:style w:type="character" w:customStyle="1" w:styleId="31">
    <w:name w:val="10"/>
    <w:basedOn w:val="17"/>
    <w:qFormat/>
    <w:uiPriority w:val="0"/>
    <w:rPr>
      <w:rFonts w:hint="default" w:ascii="Times New Roman" w:hAnsi="Times New Roman" w:cs="Times New Roman"/>
    </w:rPr>
  </w:style>
  <w:style w:type="character" w:customStyle="1" w:styleId="32">
    <w:name w:val="标题 3 字符"/>
    <w:basedOn w:val="17"/>
    <w:link w:val="4"/>
    <w:qFormat/>
    <w:uiPriority w:val="9"/>
    <w:rPr>
      <w:rFonts w:asciiTheme="minorHAnsi" w:hAnsiTheme="minorHAnsi" w:eastAsiaTheme="minorEastAsia" w:cstheme="minorBidi"/>
      <w:b/>
      <w:bCs/>
      <w:kern w:val="2"/>
      <w:sz w:val="32"/>
      <w:szCs w:val="32"/>
    </w:rPr>
  </w:style>
  <w:style w:type="paragraph" w:styleId="33">
    <w:name w:val="List Paragraph"/>
    <w:basedOn w:val="1"/>
    <w:qFormat/>
    <w:uiPriority w:val="99"/>
    <w:pPr>
      <w:ind w:firstLine="420" w:firstLineChars="200"/>
    </w:pPr>
  </w:style>
  <w:style w:type="character" w:customStyle="1" w:styleId="34">
    <w:name w:val="font41"/>
    <w:qFormat/>
    <w:uiPriority w:val="0"/>
    <w:rPr>
      <w:rFonts w:ascii="Calibri" w:hAnsi="Calibri" w:cs="Calibri"/>
      <w:color w:val="000000"/>
      <w:sz w:val="21"/>
      <w:szCs w:val="21"/>
      <w:u w:val="none"/>
    </w:rPr>
  </w:style>
  <w:style w:type="character" w:customStyle="1" w:styleId="35">
    <w:name w:val="font21"/>
    <w:qFormat/>
    <w:uiPriority w:val="0"/>
    <w:rPr>
      <w:rFonts w:hint="eastAsia" w:ascii="宋体" w:hAnsi="宋体" w:eastAsia="宋体" w:cs="宋体"/>
      <w:color w:val="000000"/>
      <w:sz w:val="21"/>
      <w:szCs w:val="21"/>
      <w:u w:val="none"/>
    </w:rPr>
  </w:style>
  <w:style w:type="character" w:customStyle="1" w:styleId="36">
    <w:name w:val="bjh-p"/>
    <w:basedOn w:val="17"/>
    <w:qFormat/>
    <w:uiPriority w:val="0"/>
  </w:style>
  <w:style w:type="character" w:customStyle="1" w:styleId="37">
    <w:name w:val="ref_content_circle"/>
    <w:basedOn w:val="17"/>
    <w:qFormat/>
    <w:uiPriority w:val="0"/>
  </w:style>
  <w:style w:type="character" w:customStyle="1" w:styleId="38">
    <w:name w:val="b-free-read-leaf"/>
    <w:basedOn w:val="17"/>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850</Words>
  <Characters>905</Characters>
  <Lines>303</Lines>
  <Paragraphs>85</Paragraphs>
  <TotalTime>5</TotalTime>
  <ScaleCrop>false</ScaleCrop>
  <LinksUpToDate>false</LinksUpToDate>
  <CharactersWithSpaces>1028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2024-10-22T12:00:00Z</dcterms:created>
  <dc:creator>Administrator</dc:creator>
  <cp:lastModifiedBy>Administrator</cp:lastModifiedBy>
  <cp:lastPrinted>2024-11-05T00:58:00Z</cp:lastPrinted>
  <dcterms:modified xsi:type="dcterms:W3CDTF">2024-11-27T03:12:52Z</dcterms:modified>
  <cp:revision>246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0E53290585EF4DC98F01F8514EDD2594_13</vt:lpwstr>
  </property>
</Properties>
</file>